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29650" w14:textId="77777777" w:rsidR="00E277D1" w:rsidRPr="00E277D1" w:rsidRDefault="00362140" w:rsidP="00C909B4">
      <w:pPr>
        <w:pStyle w:val="00Chaptitre"/>
        <w:keepNext w:val="0"/>
        <w:keepLines w:val="0"/>
        <w:pageBreakBefore w:val="0"/>
        <w:suppressAutoHyphens w:val="0"/>
        <w:rPr>
          <w:b/>
          <w:color w:val="92D050"/>
        </w:rPr>
      </w:pPr>
      <w:r w:rsidRPr="00E277D1">
        <w:rPr>
          <w:b/>
          <w:color w:val="92D050"/>
        </w:rPr>
        <w:t>Chapitre 8</w:t>
      </w:r>
    </w:p>
    <w:p w14:paraId="5ABD43F8" w14:textId="77777777" w:rsidR="00362140" w:rsidRPr="00E277D1" w:rsidRDefault="002843A0" w:rsidP="00C909B4">
      <w:pPr>
        <w:pStyle w:val="00Chaptitre"/>
        <w:keepNext w:val="0"/>
        <w:keepLines w:val="0"/>
        <w:pageBreakBefore w:val="0"/>
        <w:suppressAutoHyphens w:val="0"/>
        <w:rPr>
          <w:b/>
          <w:color w:val="92D050"/>
        </w:rPr>
      </w:pPr>
      <w:r w:rsidRPr="00E277D1">
        <w:rPr>
          <w:b/>
          <w:color w:val="92D050"/>
        </w:rPr>
        <w:t>Absorption</w:t>
      </w:r>
      <w:r w:rsidR="00C909B4" w:rsidRPr="00E277D1">
        <w:rPr>
          <w:b/>
          <w:color w:val="92D050"/>
        </w:rPr>
        <w:t xml:space="preserve"> </w:t>
      </w:r>
      <w:r w:rsidRPr="00E277D1">
        <w:rPr>
          <w:b/>
          <w:color w:val="92D050"/>
        </w:rPr>
        <w:t>intestinale</w:t>
      </w:r>
    </w:p>
    <w:p w14:paraId="29E567D2" w14:textId="1F4F8579" w:rsidR="00BF47C4" w:rsidRDefault="00BF47C4" w:rsidP="00BF47C4">
      <w:pPr>
        <w:pStyle w:val="02Programmetitre"/>
      </w:pPr>
      <w:r>
        <w:t>Capacit</w:t>
      </w:r>
      <w:r w:rsidR="001D68EC">
        <w:t>É</w:t>
      </w:r>
      <w:r>
        <w:t>s</w:t>
      </w:r>
    </w:p>
    <w:p w14:paraId="60CCBE40" w14:textId="77777777" w:rsidR="002843A0" w:rsidRDefault="00C909B4" w:rsidP="00BF47C4">
      <w:pPr>
        <w:pStyle w:val="TTextecourant"/>
        <w:numPr>
          <w:ilvl w:val="0"/>
          <w:numId w:val="38"/>
        </w:numPr>
      </w:pPr>
      <w:r>
        <w:t xml:space="preserve">Relier les caractéristiques </w:t>
      </w:r>
      <w:r w:rsidR="002843A0">
        <w:t>structurales de la</w:t>
      </w:r>
      <w:r>
        <w:t xml:space="preserve"> </w:t>
      </w:r>
      <w:r w:rsidR="002843A0">
        <w:t>muqueuse intestinale</w:t>
      </w:r>
      <w:r>
        <w:t xml:space="preserve"> </w:t>
      </w:r>
      <w:r w:rsidR="002843A0">
        <w:t>à sa fonction d’absorption</w:t>
      </w:r>
    </w:p>
    <w:p w14:paraId="29AB8AB9" w14:textId="77777777" w:rsidR="002843A0" w:rsidRDefault="00C909B4" w:rsidP="00BF47C4">
      <w:pPr>
        <w:pStyle w:val="TTextecourant"/>
        <w:numPr>
          <w:ilvl w:val="0"/>
          <w:numId w:val="38"/>
        </w:numPr>
      </w:pPr>
      <w:r>
        <w:t xml:space="preserve">Expliquer l’absorption </w:t>
      </w:r>
      <w:r w:rsidR="002843A0">
        <w:t>de l’eau par osmose</w:t>
      </w:r>
    </w:p>
    <w:p w14:paraId="34F59D25" w14:textId="77777777" w:rsidR="002843A0" w:rsidRDefault="002843A0" w:rsidP="00BF47C4">
      <w:pPr>
        <w:pStyle w:val="TTextecourant"/>
        <w:numPr>
          <w:ilvl w:val="0"/>
          <w:numId w:val="38"/>
        </w:numPr>
      </w:pPr>
      <w:r>
        <w:t>Présenter les voies</w:t>
      </w:r>
      <w:r w:rsidR="00C909B4">
        <w:t xml:space="preserve"> </w:t>
      </w:r>
      <w:r>
        <w:t>d’absorption sanguine</w:t>
      </w:r>
      <w:r w:rsidR="00C909B4">
        <w:t xml:space="preserve"> </w:t>
      </w:r>
      <w:r>
        <w:t>et lymphatique</w:t>
      </w:r>
    </w:p>
    <w:p w14:paraId="4D9A6849" w14:textId="77777777" w:rsidR="002843A0" w:rsidRDefault="00C909B4" w:rsidP="00BF47C4">
      <w:pPr>
        <w:pStyle w:val="TTextecourant"/>
        <w:numPr>
          <w:ilvl w:val="0"/>
          <w:numId w:val="38"/>
        </w:numPr>
      </w:pPr>
      <w:r>
        <w:t xml:space="preserve">Relier les voies </w:t>
      </w:r>
      <w:r w:rsidR="002843A0">
        <w:t>d’absorption aux</w:t>
      </w:r>
      <w:r>
        <w:t xml:space="preserve"> </w:t>
      </w:r>
      <w:r w:rsidR="002843A0">
        <w:t>propriétés hydrophobes</w:t>
      </w:r>
      <w:r>
        <w:t xml:space="preserve"> </w:t>
      </w:r>
      <w:r w:rsidR="002843A0">
        <w:t>ou hydrophiles des</w:t>
      </w:r>
      <w:r>
        <w:t xml:space="preserve"> </w:t>
      </w:r>
      <w:r w:rsidR="002843A0">
        <w:t>nutriments</w:t>
      </w:r>
    </w:p>
    <w:p w14:paraId="379F9C2D" w14:textId="77777777" w:rsidR="002843A0" w:rsidRDefault="00C909B4" w:rsidP="00BF47C4">
      <w:pPr>
        <w:pStyle w:val="TTextecourant"/>
        <w:numPr>
          <w:ilvl w:val="0"/>
          <w:numId w:val="38"/>
        </w:numPr>
      </w:pPr>
      <w:r>
        <w:t>Présenter le principe de la fi</w:t>
      </w:r>
      <w:r w:rsidR="002843A0">
        <w:t>broscopie</w:t>
      </w:r>
    </w:p>
    <w:p w14:paraId="01373428" w14:textId="77777777" w:rsidR="002843A0" w:rsidRDefault="002843A0" w:rsidP="00BF47C4">
      <w:pPr>
        <w:pStyle w:val="TTextecourant"/>
        <w:numPr>
          <w:ilvl w:val="0"/>
          <w:numId w:val="38"/>
        </w:numPr>
      </w:pPr>
      <w:r>
        <w:t>Montrer ses intérêts dans</w:t>
      </w:r>
      <w:r w:rsidR="00C909B4">
        <w:t xml:space="preserve"> </w:t>
      </w:r>
      <w:r>
        <w:t>l’exploration digestive</w:t>
      </w:r>
    </w:p>
    <w:p w14:paraId="3DD892C9" w14:textId="77777777" w:rsidR="002843A0" w:rsidRDefault="002843A0" w:rsidP="00BF47C4">
      <w:pPr>
        <w:pStyle w:val="TTextecourant"/>
        <w:numPr>
          <w:ilvl w:val="0"/>
          <w:numId w:val="38"/>
        </w:numPr>
      </w:pPr>
      <w:r>
        <w:t>Identif</w:t>
      </w:r>
      <w:r w:rsidR="00C909B4">
        <w:t>i</w:t>
      </w:r>
      <w:r>
        <w:t>er les risques liés</w:t>
      </w:r>
      <w:r w:rsidR="00C909B4">
        <w:t xml:space="preserve"> </w:t>
      </w:r>
      <w:r>
        <w:t>à la technique</w:t>
      </w:r>
    </w:p>
    <w:p w14:paraId="388401F6" w14:textId="77777777" w:rsidR="002843A0" w:rsidRDefault="00C909B4" w:rsidP="00BF47C4">
      <w:pPr>
        <w:pStyle w:val="TTextecourant"/>
        <w:numPr>
          <w:ilvl w:val="0"/>
          <w:numId w:val="38"/>
        </w:numPr>
      </w:pPr>
      <w:r>
        <w:t xml:space="preserve">Repérer les signes </w:t>
      </w:r>
      <w:r w:rsidR="002843A0">
        <w:t>cliniques de</w:t>
      </w:r>
      <w:r>
        <w:t xml:space="preserve"> </w:t>
      </w:r>
      <w:r w:rsidR="002843A0">
        <w:t>malabsorption</w:t>
      </w:r>
    </w:p>
    <w:p w14:paraId="3B4C109C" w14:textId="77777777" w:rsidR="002843A0" w:rsidRDefault="00C909B4" w:rsidP="00BF47C4">
      <w:pPr>
        <w:pStyle w:val="TTextecourant"/>
        <w:numPr>
          <w:ilvl w:val="0"/>
          <w:numId w:val="38"/>
        </w:numPr>
      </w:pPr>
      <w:r>
        <w:t xml:space="preserve">Associer les symptômes </w:t>
      </w:r>
      <w:r w:rsidR="002843A0">
        <w:t>au dysfonctionnement</w:t>
      </w:r>
      <w:r>
        <w:t xml:space="preserve"> </w:t>
      </w:r>
      <w:r w:rsidR="002843A0">
        <w:t>physiologique</w:t>
      </w:r>
    </w:p>
    <w:p w14:paraId="70260D21" w14:textId="77777777" w:rsidR="00362140" w:rsidRDefault="002843A0" w:rsidP="00C909B4">
      <w:pPr>
        <w:pStyle w:val="04Exercicestitre"/>
        <w:keepNext w:val="0"/>
        <w:keepLines w:val="0"/>
        <w:suppressAutoHyphens w:val="0"/>
      </w:pPr>
      <w:r>
        <w:t xml:space="preserve">Activité 1 </w:t>
      </w:r>
      <w:r w:rsidRPr="002843A0">
        <w:t>Décrire la structure de l’épithélium intestinal</w:t>
      </w:r>
    </w:p>
    <w:p w14:paraId="7ED2B0BB" w14:textId="77777777" w:rsidR="00B03AC3" w:rsidRPr="009D53C0" w:rsidRDefault="00B03AC3" w:rsidP="009D53C0">
      <w:pPr>
        <w:pStyle w:val="06Questionenonce"/>
      </w:pPr>
      <w:r w:rsidRPr="009D53C0">
        <w:t>1.</w:t>
      </w:r>
      <w:r w:rsidR="002843A0" w:rsidRPr="009D53C0">
        <w:t xml:space="preserve"> Rappeler le nom </w:t>
      </w:r>
      <w:r w:rsidR="00D7575C">
        <w:t>de la couche superfi</w:t>
      </w:r>
      <w:r w:rsidR="00C909B4" w:rsidRPr="009D53C0">
        <w:t xml:space="preserve">cielle des </w:t>
      </w:r>
      <w:r w:rsidR="002843A0" w:rsidRPr="009D53C0">
        <w:t>principaux organes du tube digestif visible dans</w:t>
      </w:r>
      <w:r w:rsidR="00C909B4" w:rsidRPr="009D53C0">
        <w:t xml:space="preserve"> </w:t>
      </w:r>
      <w:r w:rsidR="002843A0" w:rsidRPr="009D53C0">
        <w:t>le Doc. 1.</w:t>
      </w:r>
    </w:p>
    <w:p w14:paraId="73D2FEF9" w14:textId="77777777" w:rsidR="00362140" w:rsidRDefault="00362140" w:rsidP="001D2BCA">
      <w:pPr>
        <w:pStyle w:val="TTextecourant"/>
      </w:pPr>
      <w:r>
        <w:t>C’est le tissu épithélial ou muqueuse</w:t>
      </w:r>
      <w:r w:rsidR="00AE7E1E">
        <w:t>.</w:t>
      </w:r>
    </w:p>
    <w:p w14:paraId="008C9F35" w14:textId="77777777" w:rsidR="00B03AC3" w:rsidRDefault="00B03AC3" w:rsidP="009D53C0">
      <w:pPr>
        <w:pStyle w:val="06Questionenonce"/>
      </w:pPr>
      <w:r>
        <w:t>2.</w:t>
      </w:r>
      <w:r w:rsidR="002843A0">
        <w:t xml:space="preserve"> Décrire la particula</w:t>
      </w:r>
      <w:r w:rsidR="00C909B4">
        <w:t xml:space="preserve">rité anatomique de cette couche </w:t>
      </w:r>
      <w:r w:rsidR="002843A0">
        <w:t>observ</w:t>
      </w:r>
      <w:r w:rsidR="00C909B4">
        <w:t>able dans cette portion spécifi</w:t>
      </w:r>
      <w:r w:rsidR="002843A0">
        <w:t>que du tube</w:t>
      </w:r>
      <w:r w:rsidR="00C909B4">
        <w:t xml:space="preserve"> </w:t>
      </w:r>
      <w:r w:rsidR="002843A0">
        <w:t>digestif.</w:t>
      </w:r>
    </w:p>
    <w:p w14:paraId="2DC45466" w14:textId="77777777" w:rsidR="00362140" w:rsidRDefault="00362140" w:rsidP="001D2BCA">
      <w:pPr>
        <w:pStyle w:val="TTextecourant"/>
      </w:pPr>
      <w:r>
        <w:t>On observe des plis dans la muqueuse</w:t>
      </w:r>
      <w:r w:rsidR="00AE7E1E">
        <w:t>.</w:t>
      </w:r>
    </w:p>
    <w:p w14:paraId="5FE6A3F9" w14:textId="77777777" w:rsidR="00B03AC3" w:rsidRDefault="00B03AC3" w:rsidP="009D53C0">
      <w:pPr>
        <w:pStyle w:val="06Questionenonce"/>
      </w:pPr>
      <w:r>
        <w:t>3.</w:t>
      </w:r>
      <w:r w:rsidR="002843A0">
        <w:t xml:space="preserve"> Faire le lien en</w:t>
      </w:r>
      <w:r w:rsidR="00C909B4">
        <w:t xml:space="preserve">tre l’observation précédente du </w:t>
      </w:r>
      <w:r w:rsidR="002843A0">
        <w:t>Doc. 1 et l’image des valvules conniventes du Doc. 2.</w:t>
      </w:r>
    </w:p>
    <w:p w14:paraId="2E2D6169" w14:textId="77777777" w:rsidR="00362140" w:rsidRDefault="00362140" w:rsidP="001D2BCA">
      <w:pPr>
        <w:pStyle w:val="TTextecourant"/>
      </w:pPr>
      <w:r>
        <w:t>Chaque pli visible est une valvule connivente</w:t>
      </w:r>
      <w:r w:rsidR="00AE7E1E">
        <w:t>.</w:t>
      </w:r>
    </w:p>
    <w:p w14:paraId="1DFEC221" w14:textId="77777777" w:rsidR="00B03AC3" w:rsidRDefault="00B03AC3" w:rsidP="009D53C0">
      <w:pPr>
        <w:pStyle w:val="06Questionenonce"/>
      </w:pPr>
      <w:r>
        <w:t>4.</w:t>
      </w:r>
      <w:r w:rsidR="002843A0">
        <w:t xml:space="preserve"> Montrer à partir du Do</w:t>
      </w:r>
      <w:r w:rsidR="00C909B4">
        <w:t xml:space="preserve">c. 2 que les valvules possèdent </w:t>
      </w:r>
      <w:r w:rsidR="002843A0">
        <w:t>elles-mêmes des repliements et nommer</w:t>
      </w:r>
      <w:r w:rsidR="00C909B4">
        <w:t xml:space="preserve"> </w:t>
      </w:r>
      <w:r w:rsidR="002843A0">
        <w:t>ces structures.</w:t>
      </w:r>
    </w:p>
    <w:p w14:paraId="516A1C51" w14:textId="77777777" w:rsidR="00362140" w:rsidRDefault="00362140" w:rsidP="001D2BCA">
      <w:pPr>
        <w:pStyle w:val="TTextecourant"/>
      </w:pPr>
      <w:r>
        <w:t>Les valvules conniventes possèdent des plis appelés villosités intestinales</w:t>
      </w:r>
      <w:r w:rsidR="00AE7E1E">
        <w:t>.</w:t>
      </w:r>
    </w:p>
    <w:p w14:paraId="6ECD2F55" w14:textId="77777777" w:rsidR="00B03AC3" w:rsidRDefault="00B03AC3" w:rsidP="009D53C0">
      <w:pPr>
        <w:pStyle w:val="06Questionenonce"/>
      </w:pPr>
      <w:r>
        <w:t>5.</w:t>
      </w:r>
      <w:r w:rsidR="002843A0">
        <w:t xml:space="preserve"> </w:t>
      </w:r>
      <w:r w:rsidR="00C909B4">
        <w:t>Identifi</w:t>
      </w:r>
      <w:r w:rsidR="002843A0">
        <w:t>er l’ultrastructure cellulaire à l’origine des</w:t>
      </w:r>
      <w:r w:rsidR="00C909B4">
        <w:t xml:space="preserve"> </w:t>
      </w:r>
      <w:r w:rsidR="002843A0">
        <w:t>microvillosités.</w:t>
      </w:r>
    </w:p>
    <w:p w14:paraId="509DBCE6" w14:textId="77777777" w:rsidR="00362140" w:rsidRDefault="00362140" w:rsidP="001D2BCA">
      <w:pPr>
        <w:pStyle w:val="TTextecourant"/>
      </w:pPr>
      <w:r>
        <w:t>Les microvillosités sont des replis de la membrane plasmique</w:t>
      </w:r>
      <w:r w:rsidR="00AE7E1E">
        <w:t>.</w:t>
      </w:r>
    </w:p>
    <w:p w14:paraId="4E64A87C" w14:textId="77777777" w:rsidR="00B03AC3" w:rsidRDefault="00B03AC3" w:rsidP="009D53C0">
      <w:pPr>
        <w:pStyle w:val="06Questionenonce"/>
      </w:pPr>
      <w:r>
        <w:t>6.</w:t>
      </w:r>
      <w:r w:rsidR="002843A0">
        <w:t xml:space="preserve"> </w:t>
      </w:r>
      <w:r w:rsidR="00C909B4">
        <w:t>Diff</w:t>
      </w:r>
      <w:r w:rsidR="002843A0">
        <w:t>érencier les niveaux d’organisations correspondant</w:t>
      </w:r>
      <w:r w:rsidR="00C909B4">
        <w:t xml:space="preserve"> </w:t>
      </w:r>
      <w:r w:rsidR="002843A0">
        <w:t>aux valvules, villosités et microvillosités</w:t>
      </w:r>
      <w:r w:rsidR="00C909B4">
        <w:t xml:space="preserve"> </w:t>
      </w:r>
      <w:r w:rsidR="002843A0">
        <w:t>observables dans le Doc. 2.</w:t>
      </w:r>
    </w:p>
    <w:p w14:paraId="06A06A3A" w14:textId="77777777" w:rsidR="00362140" w:rsidRDefault="00362140" w:rsidP="001D2BCA">
      <w:pPr>
        <w:pStyle w:val="TTextecourant"/>
      </w:pPr>
      <w:r>
        <w:t>Les valvules sont observables au niveau de l’organe, les villosités au niveau des tissus et les microvillosités au niveau cellulaire</w:t>
      </w:r>
      <w:r w:rsidR="00AE7E1E">
        <w:t>.</w:t>
      </w:r>
    </w:p>
    <w:p w14:paraId="5317E9FE" w14:textId="77777777" w:rsidR="00B03AC3" w:rsidRDefault="00B03AC3" w:rsidP="009D53C0">
      <w:pPr>
        <w:pStyle w:val="06Questionenonce"/>
      </w:pPr>
      <w:r>
        <w:t>7.</w:t>
      </w:r>
      <w:r w:rsidR="002843A0">
        <w:t xml:space="preserve"> Comparer la longueur de contact avec l’extérieur de la memb</w:t>
      </w:r>
      <w:r w:rsidR="00C909B4">
        <w:t xml:space="preserve">rane sans microvillosité (trait </w:t>
      </w:r>
      <w:r w:rsidR="002843A0">
        <w:t>bleu) avec celle de la membrane avec microvillosité (trait rose) sur le cliché en bas du Doc. 2.</w:t>
      </w:r>
    </w:p>
    <w:p w14:paraId="57789495" w14:textId="285AC6B1" w:rsidR="00362140" w:rsidRDefault="00362140" w:rsidP="001D2BCA">
      <w:pPr>
        <w:pStyle w:val="TTextecourant"/>
      </w:pPr>
      <w:r>
        <w:t>La longueur de contact sans microvillosité serait d’environ 3</w:t>
      </w:r>
      <w:r w:rsidR="0055192F">
        <w:t> </w:t>
      </w:r>
      <w:r>
        <w:t>µm et 40 fois plus au contact des 20 microvillosités</w:t>
      </w:r>
      <w:r w:rsidR="00AE7E1E">
        <w:t>.</w:t>
      </w:r>
    </w:p>
    <w:p w14:paraId="47E8F3C4" w14:textId="77777777" w:rsidR="00B03AC3" w:rsidRDefault="00B03AC3" w:rsidP="009D53C0">
      <w:pPr>
        <w:pStyle w:val="06Questionenonce"/>
      </w:pPr>
      <w:r>
        <w:t>8.</w:t>
      </w:r>
      <w:r w:rsidR="002843A0">
        <w:t xml:space="preserve"> Conclure sur l’intérêt physiologique des valvules, des villosi</w:t>
      </w:r>
      <w:r w:rsidR="00C909B4">
        <w:t xml:space="preserve">tés et des microvillosités dans </w:t>
      </w:r>
      <w:r w:rsidR="002843A0">
        <w:t>le phénomène d’absorption intestinale.</w:t>
      </w:r>
    </w:p>
    <w:p w14:paraId="4EDC85A9" w14:textId="77777777" w:rsidR="00362140" w:rsidRDefault="00362140" w:rsidP="001D2BCA">
      <w:pPr>
        <w:pStyle w:val="TTextecourant"/>
      </w:pPr>
      <w:r>
        <w:t>Les différents plis de la muqueuse intestinale augmentent la surface de contact au niveau de la muqueuse, et donc l’absorption intestinale</w:t>
      </w:r>
      <w:r w:rsidR="00AE7E1E">
        <w:t>.</w:t>
      </w:r>
    </w:p>
    <w:p w14:paraId="7D008DF7" w14:textId="77777777" w:rsidR="00362140" w:rsidRPr="009D53C0" w:rsidRDefault="00D7575C" w:rsidP="009D53C0">
      <w:pPr>
        <w:pStyle w:val="04Exercicestitre"/>
      </w:pPr>
      <w:r>
        <w:lastRenderedPageBreak/>
        <w:t>Activité</w:t>
      </w:r>
      <w:r w:rsidRPr="009D53C0">
        <w:t xml:space="preserve"> </w:t>
      </w:r>
      <w:r w:rsidR="00362140" w:rsidRPr="009D53C0">
        <w:t>2</w:t>
      </w:r>
      <w:r w:rsidR="00F21A0C">
        <w:t xml:space="preserve"> </w:t>
      </w:r>
      <w:r w:rsidR="002843A0" w:rsidRPr="009D53C0">
        <w:t>Comparer les voies d’absorptions liées à la vascularisation</w:t>
      </w:r>
    </w:p>
    <w:p w14:paraId="19533A50" w14:textId="77777777" w:rsidR="00B03AC3" w:rsidRDefault="00B03AC3" w:rsidP="009D53C0">
      <w:pPr>
        <w:pStyle w:val="06Questionenonce"/>
      </w:pPr>
      <w:r>
        <w:t>1.</w:t>
      </w:r>
      <w:r w:rsidR="002843A0">
        <w:t xml:space="preserve"> </w:t>
      </w:r>
      <w:r w:rsidR="00C909B4">
        <w:t xml:space="preserve">Caractériser l’importance de </w:t>
      </w:r>
      <w:r w:rsidR="002843A0">
        <w:t>la vascularisation (système</w:t>
      </w:r>
      <w:r w:rsidR="00C909B4">
        <w:t xml:space="preserve"> </w:t>
      </w:r>
      <w:r w:rsidR="002843A0">
        <w:t>circulatoire du sang) dans</w:t>
      </w:r>
      <w:r w:rsidR="00C909B4">
        <w:t xml:space="preserve"> </w:t>
      </w:r>
      <w:r w:rsidR="002843A0">
        <w:t>les villosités en observant le</w:t>
      </w:r>
      <w:r w:rsidR="00C909B4">
        <w:t xml:space="preserve"> </w:t>
      </w:r>
      <w:r w:rsidR="002843A0">
        <w:t>Doc. 3.</w:t>
      </w:r>
    </w:p>
    <w:p w14:paraId="28F0D306" w14:textId="77777777" w:rsidR="00362140" w:rsidRDefault="00362140" w:rsidP="001D2BCA">
      <w:pPr>
        <w:pStyle w:val="TTextecourant"/>
      </w:pPr>
      <w:r>
        <w:t>Les villosités sont richement vascularisées</w:t>
      </w:r>
      <w:r w:rsidR="00AE7E1E">
        <w:t>.</w:t>
      </w:r>
    </w:p>
    <w:p w14:paraId="39DC5D5B" w14:textId="77777777" w:rsidR="00B03AC3" w:rsidRDefault="00B03AC3" w:rsidP="009D53C0">
      <w:pPr>
        <w:pStyle w:val="06Questionenonce"/>
      </w:pPr>
      <w:r>
        <w:t>2.</w:t>
      </w:r>
      <w:r w:rsidR="002843A0">
        <w:t xml:space="preserve"> Commenter et interpréter</w:t>
      </w:r>
      <w:r w:rsidR="00C909B4">
        <w:t xml:space="preserve"> </w:t>
      </w:r>
      <w:r w:rsidR="002843A0">
        <w:t>la distance entre le système</w:t>
      </w:r>
      <w:r w:rsidR="00C909B4">
        <w:t xml:space="preserve"> </w:t>
      </w:r>
      <w:r w:rsidR="002843A0">
        <w:t>circulatoire du sang et la</w:t>
      </w:r>
      <w:r w:rsidR="00C909B4">
        <w:t xml:space="preserve"> </w:t>
      </w:r>
      <w:r w:rsidR="002843A0">
        <w:t>lumière du tube digestif.</w:t>
      </w:r>
    </w:p>
    <w:p w14:paraId="55F62D2C" w14:textId="77777777" w:rsidR="00362140" w:rsidRDefault="00362140" w:rsidP="001D2BCA">
      <w:pPr>
        <w:pStyle w:val="TTextecourant"/>
      </w:pPr>
      <w:r>
        <w:t>La distance entre la lumière du tube digestif et les vaisseaux sanguins des villosités est très petite. Ceci facilite l’absorption intestinale et le passage des nutriments dans le sang</w:t>
      </w:r>
      <w:r w:rsidR="00AE7E1E">
        <w:t>.</w:t>
      </w:r>
    </w:p>
    <w:p w14:paraId="602FC4E7" w14:textId="77777777" w:rsidR="00B03AC3" w:rsidRDefault="00B03AC3" w:rsidP="009D53C0">
      <w:pPr>
        <w:pStyle w:val="06Questionenonce"/>
      </w:pPr>
      <w:r>
        <w:t>3.</w:t>
      </w:r>
      <w:r w:rsidR="002843A0">
        <w:t xml:space="preserve"> R</w:t>
      </w:r>
      <w:r w:rsidR="00C909B4">
        <w:t xml:space="preserve">elier les nutriments du tableau </w:t>
      </w:r>
      <w:r w:rsidR="002843A0">
        <w:t>du Doc. 5 aux catégories de biomolécules</w:t>
      </w:r>
      <w:r w:rsidR="00C909B4">
        <w:t xml:space="preserve"> </w:t>
      </w:r>
      <w:r w:rsidR="002843A0">
        <w:t>de l’alimentation.</w:t>
      </w:r>
    </w:p>
    <w:p w14:paraId="23A1BC8B" w14:textId="77777777" w:rsidR="00362140" w:rsidRDefault="00362140" w:rsidP="001D2BCA">
      <w:pPr>
        <w:pStyle w:val="TTextecourant"/>
      </w:pPr>
      <w:r>
        <w:t>Les acides gras appartiennent aux lipides, le glucose aux glucides et les acides aminés aux protéines</w:t>
      </w:r>
      <w:r w:rsidR="00AE7E1E">
        <w:t>.</w:t>
      </w:r>
    </w:p>
    <w:p w14:paraId="0ECAE62F" w14:textId="77777777" w:rsidR="00B03AC3" w:rsidRDefault="00B03AC3" w:rsidP="009D53C0">
      <w:pPr>
        <w:pStyle w:val="06Questionenonce"/>
      </w:pPr>
      <w:r>
        <w:t>4.</w:t>
      </w:r>
      <w:r w:rsidR="002843A0">
        <w:t xml:space="preserve"> A</w:t>
      </w:r>
      <w:r w:rsidR="00C909B4">
        <w:t xml:space="preserve">nalyser le tableau du Doc. 5 en </w:t>
      </w:r>
      <w:r w:rsidR="002843A0">
        <w:t>mettant en relation, à l’aide du</w:t>
      </w:r>
      <w:r w:rsidR="00C909B4">
        <w:t xml:space="preserve"> </w:t>
      </w:r>
      <w:r w:rsidR="002843A0">
        <w:t>Doc. 4, le compartiment liquidien</w:t>
      </w:r>
      <w:r w:rsidR="00C909B4">
        <w:t xml:space="preserve"> </w:t>
      </w:r>
      <w:r w:rsidR="002843A0">
        <w:t>circulant et la présence des</w:t>
      </w:r>
      <w:r w:rsidR="00C909B4">
        <w:t xml:space="preserve"> diff</w:t>
      </w:r>
      <w:r w:rsidR="002843A0">
        <w:t>érents nutriments.</w:t>
      </w:r>
    </w:p>
    <w:p w14:paraId="18ED49B5" w14:textId="77777777" w:rsidR="00362140" w:rsidRDefault="00362140" w:rsidP="001D2BCA">
      <w:pPr>
        <w:pStyle w:val="TTextecourant"/>
      </w:pPr>
      <w:r>
        <w:t>Les acides gras à chaîne longue sont exclusivement retrouvés dans la lymphe. Les autres catégories de nutriments passent dans la circulation sanguine</w:t>
      </w:r>
      <w:r w:rsidR="00AE7E1E">
        <w:t>.</w:t>
      </w:r>
    </w:p>
    <w:p w14:paraId="623153CF" w14:textId="77777777" w:rsidR="00B03AC3" w:rsidRDefault="00B03AC3" w:rsidP="009D53C0">
      <w:pPr>
        <w:pStyle w:val="06Questionenonce"/>
      </w:pPr>
      <w:r>
        <w:t>5.</w:t>
      </w:r>
      <w:r w:rsidR="002843A0">
        <w:t xml:space="preserve"> Pr</w:t>
      </w:r>
      <w:r w:rsidR="00C909B4">
        <w:t xml:space="preserve">oposer, à l’aide du Doc. 5, une </w:t>
      </w:r>
      <w:r w:rsidR="002843A0">
        <w:t>relation entre la polarité des</w:t>
      </w:r>
      <w:r w:rsidR="00C909B4">
        <w:t xml:space="preserve"> </w:t>
      </w:r>
      <w:r w:rsidR="002843A0">
        <w:t>molécules et leur devenir.</w:t>
      </w:r>
    </w:p>
    <w:p w14:paraId="196908BD" w14:textId="77777777" w:rsidR="00362140" w:rsidRPr="001D2BCA" w:rsidRDefault="00362140" w:rsidP="001D2BCA">
      <w:pPr>
        <w:pStyle w:val="TTextecourant"/>
      </w:pPr>
      <w:r w:rsidRPr="001D2BCA">
        <w:t>Les nutriments les moins polaires rejoignent la lymphe (ils s’associent à d’autres molécules pour former des lipoprotéines de grosse taille qui ne peuvent entrer que dans les chylifères)</w:t>
      </w:r>
      <w:r w:rsidR="00C909B4" w:rsidRPr="001D2BCA">
        <w:t>.</w:t>
      </w:r>
    </w:p>
    <w:p w14:paraId="6D80FAA5" w14:textId="77777777" w:rsidR="00C909B4" w:rsidRDefault="00D7575C" w:rsidP="00F21A0C">
      <w:pPr>
        <w:pStyle w:val="04Exercicestitre"/>
      </w:pPr>
      <w:r>
        <w:t>Activité</w:t>
      </w:r>
      <w:r w:rsidR="00C909B4">
        <w:t xml:space="preserve"> 3</w:t>
      </w:r>
      <w:r w:rsidR="00F21A0C">
        <w:t xml:space="preserve"> Réaliser une expérience d’échange de matières à travers une membrane biologique</w:t>
      </w:r>
    </w:p>
    <w:p w14:paraId="081C90CB" w14:textId="77777777" w:rsidR="00C909B4" w:rsidRDefault="00C909B4" w:rsidP="009D53C0">
      <w:pPr>
        <w:pStyle w:val="06Questionenonce"/>
      </w:pPr>
      <w:r>
        <w:t>1. Faire un schéma du montage correspondant au protocole décrit dans le Doc. 6 en faisant apparaître l’intérieur de la coquille (compartiment 1) et l’intérieur du bécher (compartiment</w:t>
      </w:r>
      <w:r w:rsidR="001D2BCA">
        <w:t xml:space="preserve"> </w:t>
      </w:r>
      <w:r>
        <w:t>2) séparés par une membrane.</w:t>
      </w:r>
    </w:p>
    <w:p w14:paraId="4AEB712B" w14:textId="77777777" w:rsidR="00EA49BC" w:rsidRDefault="00783DA3" w:rsidP="009D53C0">
      <w:pPr>
        <w:pStyle w:val="06Questionenonce"/>
      </w:pPr>
      <w:r>
        <w:rPr>
          <w:noProof/>
        </w:rPr>
        <mc:AlternateContent>
          <mc:Choice Requires="wps">
            <w:drawing>
              <wp:anchor distT="0" distB="0" distL="114300" distR="114300" simplePos="0" relativeHeight="251653632" behindDoc="0" locked="0" layoutInCell="1" allowOverlap="1" wp14:anchorId="63684606" wp14:editId="7AF5480B">
                <wp:simplePos x="0" y="0"/>
                <wp:positionH relativeFrom="column">
                  <wp:posOffset>2360295</wp:posOffset>
                </wp:positionH>
                <wp:positionV relativeFrom="paragraph">
                  <wp:posOffset>1500505</wp:posOffset>
                </wp:positionV>
                <wp:extent cx="2312670" cy="211455"/>
                <wp:effectExtent l="0" t="0" r="11430" b="17145"/>
                <wp:wrapNone/>
                <wp:docPr id="14" name="Zone de texte 14"/>
                <wp:cNvGraphicFramePr/>
                <a:graphic xmlns:a="http://schemas.openxmlformats.org/drawingml/2006/main">
                  <a:graphicData uri="http://schemas.microsoft.com/office/word/2010/wordprocessingShape">
                    <wps:wsp>
                      <wps:cNvSpPr txBox="1"/>
                      <wps:spPr>
                        <a:xfrm>
                          <a:off x="0" y="0"/>
                          <a:ext cx="2312670" cy="211455"/>
                        </a:xfrm>
                        <a:prstGeom prst="rect">
                          <a:avLst/>
                        </a:prstGeom>
                        <a:solidFill>
                          <a:schemeClr val="lt1"/>
                        </a:solidFill>
                        <a:ln w="6350">
                          <a:solidFill>
                            <a:prstClr val="black"/>
                          </a:solidFill>
                        </a:ln>
                      </wps:spPr>
                      <wps:txbx>
                        <w:txbxContent>
                          <w:p w14:paraId="69DC26D5" w14:textId="77777777" w:rsidR="00F21A0C" w:rsidRPr="00783DA3" w:rsidRDefault="00F21A0C" w:rsidP="00F21A0C">
                            <w:pPr>
                              <w:jc w:val="both"/>
                              <w:rPr>
                                <w:sz w:val="16"/>
                                <w:szCs w:val="16"/>
                                <w14:shadow w14:blurRad="50800" w14:dist="50800" w14:dir="5400000" w14:sx="0" w14:sy="0" w14:kx="0" w14:ky="0" w14:algn="ctr">
                                  <w14:srgbClr w14:val="C00000"/>
                                </w14:shadow>
                              </w:rPr>
                            </w:pPr>
                            <w:r w:rsidRPr="00783DA3">
                              <w:rPr>
                                <w:sz w:val="16"/>
                                <w:szCs w:val="16"/>
                                <w14:shadow w14:blurRad="50800" w14:dist="50800" w14:dir="5400000" w14:sx="0" w14:sy="0" w14:kx="0" w14:ky="0" w14:algn="ctr">
                                  <w14:srgbClr w14:val="C00000"/>
                                </w14:shadow>
                              </w:rPr>
                              <w:t>Compartiment 2 (bécher) : contient de l’amidon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84606" id="_x0000_t202" coordsize="21600,21600" o:spt="202" path="m,l,21600r21600,l21600,xe">
                <v:stroke joinstyle="miter"/>
                <v:path gradientshapeok="t" o:connecttype="rect"/>
              </v:shapetype>
              <v:shape id="Zone de texte 14" o:spid="_x0000_s1026" type="#_x0000_t202" style="position:absolute;left:0;text-align:left;margin-left:185.85pt;margin-top:118.15pt;width:182.1pt;height:16.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" fillcolor="white [3201]" strokeweight=".5pt">
                <v:textbox>
                  <w:txbxContent>
                    <w:p w14:paraId="69DC26D5" w14:textId="77777777" w:rsidR="00F21A0C" w:rsidRPr="00783DA3" w:rsidRDefault="00F21A0C" w:rsidP="00F21A0C">
                      <w:pPr>
                        <w:jc w:val="both"/>
                        <w:rPr>
                          <w:sz w:val="16"/>
                          <w:szCs w:val="16"/>
                          <w14:shadow w14:blurRad="50800" w14:dist="50800" w14:dir="5400000" w14:sx="0" w14:sy="0" w14:kx="0" w14:ky="0" w14:algn="ctr">
                            <w14:srgbClr w14:val="C00000"/>
                          </w14:shadow>
                        </w:rPr>
                      </w:pPr>
                      <w:r w:rsidRPr="00783DA3">
                        <w:rPr>
                          <w:sz w:val="16"/>
                          <w:szCs w:val="16"/>
                          <w14:shadow w14:blurRad="50800" w14:dist="50800" w14:dir="5400000" w14:sx="0" w14:sy="0" w14:kx="0" w14:ky="0" w14:algn="ctr">
                            <w14:srgbClr w14:val="C00000"/>
                          </w14:shadow>
                        </w:rPr>
                        <w:t>Compartiment 2 (bécher) : contient de l’amidon</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5861C544" wp14:editId="2ED9CB6D">
                <wp:simplePos x="0" y="0"/>
                <wp:positionH relativeFrom="column">
                  <wp:posOffset>1972888</wp:posOffset>
                </wp:positionH>
                <wp:positionV relativeFrom="paragraph">
                  <wp:posOffset>1104739</wp:posOffset>
                </wp:positionV>
                <wp:extent cx="1084997" cy="211455"/>
                <wp:effectExtent l="0" t="0" r="20320" b="17145"/>
                <wp:wrapNone/>
                <wp:docPr id="19" name="Zone de texte 19"/>
                <wp:cNvGraphicFramePr/>
                <a:graphic xmlns:a="http://schemas.openxmlformats.org/drawingml/2006/main">
                  <a:graphicData uri="http://schemas.microsoft.com/office/word/2010/wordprocessingShape">
                    <wps:wsp>
                      <wps:cNvSpPr txBox="1"/>
                      <wps:spPr>
                        <a:xfrm>
                          <a:off x="0" y="0"/>
                          <a:ext cx="1084997" cy="211455"/>
                        </a:xfrm>
                        <a:prstGeom prst="rect">
                          <a:avLst/>
                        </a:prstGeom>
                        <a:solidFill>
                          <a:sysClr val="window" lastClr="FFFFFF"/>
                        </a:solidFill>
                        <a:ln w="6350">
                          <a:solidFill>
                            <a:prstClr val="black"/>
                          </a:solidFill>
                        </a:ln>
                      </wps:spPr>
                      <wps:txbx>
                        <w:txbxContent>
                          <w:p w14:paraId="24A8E187" w14:textId="77777777" w:rsidR="00783DA3" w:rsidRPr="00F21A0C" w:rsidRDefault="00783DA3" w:rsidP="00783DA3">
                            <w:pPr>
                              <w:jc w:val="both"/>
                              <w:rPr>
                                <w:sz w:val="16"/>
                                <w:szCs w:val="16"/>
                              </w:rPr>
                            </w:pPr>
                            <w:r>
                              <w:rPr>
                                <w:sz w:val="16"/>
                                <w:szCs w:val="16"/>
                              </w:rPr>
                              <w:t>Membrane dénudée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1C544" id="Zone de texte 19" o:spid="_x0000_s1027" type="#_x0000_t202" style="position:absolute;left:0;text-align:left;margin-left:155.35pt;margin-top:87pt;width:85.45pt;height:16.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" fillcolor="window" strokeweight=".5pt">
                <v:textbox>
                  <w:txbxContent>
                    <w:p w14:paraId="24A8E187" w14:textId="77777777" w:rsidR="00783DA3" w:rsidRPr="00F21A0C" w:rsidRDefault="00783DA3" w:rsidP="00783DA3">
                      <w:pPr>
                        <w:jc w:val="both"/>
                        <w:rPr>
                          <w:sz w:val="16"/>
                          <w:szCs w:val="16"/>
                        </w:rPr>
                      </w:pPr>
                      <w:r>
                        <w:rPr>
                          <w:sz w:val="16"/>
                          <w:szCs w:val="16"/>
                        </w:rPr>
                        <w:t>Membrane dénudée</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6D61A775" wp14:editId="745DF122">
                <wp:simplePos x="0" y="0"/>
                <wp:positionH relativeFrom="column">
                  <wp:posOffset>717465</wp:posOffset>
                </wp:positionH>
                <wp:positionV relativeFrom="paragraph">
                  <wp:posOffset>750275</wp:posOffset>
                </wp:positionV>
                <wp:extent cx="1248770" cy="395785"/>
                <wp:effectExtent l="38100" t="38100" r="27940" b="23495"/>
                <wp:wrapNone/>
                <wp:docPr id="18" name="Connecteur droit avec flèche 18"/>
                <wp:cNvGraphicFramePr/>
                <a:graphic xmlns:a="http://schemas.openxmlformats.org/drawingml/2006/main">
                  <a:graphicData uri="http://schemas.microsoft.com/office/word/2010/wordprocessingShape">
                    <wps:wsp>
                      <wps:cNvCnPr/>
                      <wps:spPr>
                        <a:xfrm flipH="1" flipV="1">
                          <a:off x="0" y="0"/>
                          <a:ext cx="1248770" cy="395785"/>
                        </a:xfrm>
                        <a:prstGeom prst="straightConnector1">
                          <a:avLst/>
                        </a:prstGeom>
                        <a:noFill/>
                        <a:ln w="15875" cap="flat" cmpd="sng" algn="ctr">
                          <a:solidFill>
                            <a:srgbClr val="C0504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CD3C424" id="_x0000_t32" coordsize="21600,21600" o:spt="32" o:oned="t" path="m,l21600,21600e" filled="f">
                <v:path arrowok="t" fillok="f" o:connecttype="none"/>
                <o:lock v:ext="edit" shapetype="t"/>
              </v:shapetype>
              <v:shape id="Connecteur droit avec flèche 18" o:spid="_x0000_s1026" type="#_x0000_t32" style="position:absolute;margin-left:56.5pt;margin-top:59.1pt;width:98.35pt;height:31.1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" strokecolor="#c0504d" strokeweight="1.25pt">
                <v:stroke endarrow="block"/>
              </v:shape>
            </w:pict>
          </mc:Fallback>
        </mc:AlternateContent>
      </w:r>
      <w:r>
        <w:rPr>
          <w:noProof/>
        </w:rPr>
        <mc:AlternateContent>
          <mc:Choice Requires="wps">
            <w:drawing>
              <wp:anchor distT="0" distB="0" distL="114300" distR="114300" simplePos="0" relativeHeight="251657728" behindDoc="0" locked="0" layoutInCell="1" allowOverlap="1" wp14:anchorId="0E1C12E3" wp14:editId="52F88BB4">
                <wp:simplePos x="0" y="0"/>
                <wp:positionH relativeFrom="column">
                  <wp:posOffset>840295</wp:posOffset>
                </wp:positionH>
                <wp:positionV relativeFrom="paragraph">
                  <wp:posOffset>1521375</wp:posOffset>
                </wp:positionV>
                <wp:extent cx="1501253" cy="95534"/>
                <wp:effectExtent l="0" t="57150" r="22860" b="19050"/>
                <wp:wrapNone/>
                <wp:docPr id="3" name="Connecteur droit avec flèche 3"/>
                <wp:cNvGraphicFramePr/>
                <a:graphic xmlns:a="http://schemas.openxmlformats.org/drawingml/2006/main">
                  <a:graphicData uri="http://schemas.microsoft.com/office/word/2010/wordprocessingShape">
                    <wps:wsp>
                      <wps:cNvCnPr/>
                      <wps:spPr>
                        <a:xfrm flipH="1" flipV="1">
                          <a:off x="0" y="0"/>
                          <a:ext cx="1501253" cy="95534"/>
                        </a:xfrm>
                        <a:prstGeom prst="straightConnector1">
                          <a:avLst/>
                        </a:prstGeom>
                        <a:noFill/>
                        <a:ln w="15875" cap="flat" cmpd="sng" algn="ctr">
                          <a:solidFill>
                            <a:srgbClr val="C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C300BE" id="Connecteur droit avec flèche 3" o:spid="_x0000_s1026" type="#_x0000_t32" style="position:absolute;margin-left:66.15pt;margin-top:119.8pt;width:118.2pt;height:7.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" strokecolor="#c00000" strokeweight="1.25pt">
                <v:stroke endarrow="block"/>
              </v:shape>
            </w:pict>
          </mc:Fallback>
        </mc:AlternateContent>
      </w:r>
      <w:r>
        <w:rPr>
          <w:noProof/>
        </w:rPr>
        <mc:AlternateContent>
          <mc:Choice Requires="wps">
            <w:drawing>
              <wp:anchor distT="0" distB="0" distL="114300" distR="114300" simplePos="0" relativeHeight="251651584" behindDoc="0" locked="0" layoutInCell="1" allowOverlap="1" wp14:anchorId="262326AA" wp14:editId="24145707">
                <wp:simplePos x="0" y="0"/>
                <wp:positionH relativeFrom="column">
                  <wp:posOffset>2327901</wp:posOffset>
                </wp:positionH>
                <wp:positionV relativeFrom="paragraph">
                  <wp:posOffset>688861</wp:posOffset>
                </wp:positionV>
                <wp:extent cx="2470150" cy="238836"/>
                <wp:effectExtent l="0" t="0" r="25400" b="27940"/>
                <wp:wrapNone/>
                <wp:docPr id="13" name="Zone de texte 13"/>
                <wp:cNvGraphicFramePr/>
                <a:graphic xmlns:a="http://schemas.openxmlformats.org/drawingml/2006/main">
                  <a:graphicData uri="http://schemas.microsoft.com/office/word/2010/wordprocessingShape">
                    <wps:wsp>
                      <wps:cNvSpPr txBox="1"/>
                      <wps:spPr>
                        <a:xfrm>
                          <a:off x="0" y="0"/>
                          <a:ext cx="2470150" cy="238836"/>
                        </a:xfrm>
                        <a:prstGeom prst="rect">
                          <a:avLst/>
                        </a:prstGeom>
                        <a:solidFill>
                          <a:schemeClr val="lt1"/>
                        </a:solidFill>
                        <a:ln w="6350">
                          <a:solidFill>
                            <a:prstClr val="black"/>
                          </a:solidFill>
                        </a:ln>
                      </wps:spPr>
                      <wps:txbx>
                        <w:txbxContent>
                          <w:p w14:paraId="269077D9" w14:textId="77777777" w:rsidR="00F21A0C" w:rsidRPr="00F21A0C" w:rsidRDefault="00F21A0C" w:rsidP="00F21A0C">
                            <w:pPr>
                              <w:rPr>
                                <w:sz w:val="16"/>
                                <w:szCs w:val="16"/>
                              </w:rPr>
                            </w:pPr>
                            <w:r w:rsidRPr="00F21A0C">
                              <w:rPr>
                                <w:sz w:val="16"/>
                                <w:szCs w:val="16"/>
                              </w:rPr>
                              <w:t>Compartiment 1</w:t>
                            </w:r>
                            <w:r>
                              <w:rPr>
                                <w:sz w:val="16"/>
                                <w:szCs w:val="16"/>
                              </w:rPr>
                              <w:t xml:space="preserve"> (demi-œuf)</w:t>
                            </w:r>
                            <w:r w:rsidRPr="00F21A0C">
                              <w:rPr>
                                <w:sz w:val="16"/>
                                <w:szCs w:val="16"/>
                              </w:rPr>
                              <w:t> : contient de l’eau iodée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326AA" id="Zone de texte 13" o:spid="_x0000_s1028" type="#_x0000_t202" style="position:absolute;left:0;text-align:left;margin-left:183.3pt;margin-top:54.25pt;width:194.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" fillcolor="white [3201]" strokeweight=".5pt">
                <v:textbox>
                  <w:txbxContent>
                    <w:p w14:paraId="269077D9" w14:textId="77777777" w:rsidR="00F21A0C" w:rsidRPr="00F21A0C" w:rsidRDefault="00F21A0C" w:rsidP="00F21A0C">
                      <w:pPr>
                        <w:rPr>
                          <w:sz w:val="16"/>
                          <w:szCs w:val="16"/>
                        </w:rPr>
                      </w:pPr>
                      <w:r w:rsidRPr="00F21A0C">
                        <w:rPr>
                          <w:sz w:val="16"/>
                          <w:szCs w:val="16"/>
                        </w:rPr>
                        <w:t>Compartiment 1</w:t>
                      </w:r>
                      <w:r>
                        <w:rPr>
                          <w:sz w:val="16"/>
                          <w:szCs w:val="16"/>
                        </w:rPr>
                        <w:t xml:space="preserve"> (demi-œuf)</w:t>
                      </w:r>
                      <w:r w:rsidRPr="00F21A0C">
                        <w:rPr>
                          <w:sz w:val="16"/>
                          <w:szCs w:val="16"/>
                        </w:rPr>
                        <w:t> : contient de l’eau iodée</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0984F2B8" wp14:editId="3B5B6AD4">
                <wp:simplePos x="0" y="0"/>
                <wp:positionH relativeFrom="column">
                  <wp:posOffset>915357</wp:posOffset>
                </wp:positionH>
                <wp:positionV relativeFrom="paragraph">
                  <wp:posOffset>709333</wp:posOffset>
                </wp:positionV>
                <wp:extent cx="1391769" cy="75063"/>
                <wp:effectExtent l="0" t="57150" r="18415" b="20320"/>
                <wp:wrapNone/>
                <wp:docPr id="12" name="Connecteur droit avec flèche 12"/>
                <wp:cNvGraphicFramePr/>
                <a:graphic xmlns:a="http://schemas.openxmlformats.org/drawingml/2006/main">
                  <a:graphicData uri="http://schemas.microsoft.com/office/word/2010/wordprocessingShape">
                    <wps:wsp>
                      <wps:cNvCnPr/>
                      <wps:spPr>
                        <a:xfrm flipH="1" flipV="1">
                          <a:off x="0" y="0"/>
                          <a:ext cx="1391769" cy="75063"/>
                        </a:xfrm>
                        <a:prstGeom prst="straightConnector1">
                          <a:avLst/>
                        </a:prstGeom>
                        <a:ln w="158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C6722" id="Connecteur droit avec flèche 12" o:spid="_x0000_s1026" type="#_x0000_t32" style="position:absolute;margin-left:72.1pt;margin-top:55.85pt;width:109.6pt;height:5.9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" strokecolor="#c0504d [3205]" strokeweight="1.25pt">
                <v:stroke endarrow="block"/>
              </v:shape>
            </w:pict>
          </mc:Fallback>
        </mc:AlternateContent>
      </w:r>
      <w:r w:rsidRPr="00EA49BC">
        <w:rPr>
          <w:noProof/>
        </w:rPr>
        <w:drawing>
          <wp:inline distT="0" distB="0" distL="0" distR="0" wp14:anchorId="21166C5E" wp14:editId="3D1E2533">
            <wp:extent cx="1684872" cy="229335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517" cy="2307848"/>
                    </a:xfrm>
                    <a:prstGeom prst="rect">
                      <a:avLst/>
                    </a:prstGeom>
                    <a:noFill/>
                    <a:ln>
                      <a:noFill/>
                    </a:ln>
                  </pic:spPr>
                </pic:pic>
              </a:graphicData>
            </a:graphic>
          </wp:inline>
        </w:drawing>
      </w:r>
    </w:p>
    <w:p w14:paraId="45616C04" w14:textId="77777777" w:rsidR="00B03AC3" w:rsidRDefault="00EA49BC" w:rsidP="00783DA3">
      <w:pPr>
        <w:pStyle w:val="06Questionenonce"/>
      </w:pPr>
      <w:r>
        <w:rPr>
          <w:noProof/>
        </w:rPr>
        <mc:AlternateContent>
          <mc:Choice Requires="wps">
            <w:drawing>
              <wp:anchor distT="0" distB="0" distL="114300" distR="114300" simplePos="0" relativeHeight="251661824" behindDoc="0" locked="0" layoutInCell="1" allowOverlap="1" wp14:anchorId="064CD900" wp14:editId="4885FBBB">
                <wp:simplePos x="0" y="0"/>
                <wp:positionH relativeFrom="column">
                  <wp:posOffset>157906</wp:posOffset>
                </wp:positionH>
                <wp:positionV relativeFrom="paragraph">
                  <wp:posOffset>211332</wp:posOffset>
                </wp:positionV>
                <wp:extent cx="675565" cy="1364776"/>
                <wp:effectExtent l="0" t="0" r="0" b="6985"/>
                <wp:wrapNone/>
                <wp:docPr id="5" name="Rectangle 5"/>
                <wp:cNvGraphicFramePr/>
                <a:graphic xmlns:a="http://schemas.openxmlformats.org/drawingml/2006/main">
                  <a:graphicData uri="http://schemas.microsoft.com/office/word/2010/wordprocessingShape">
                    <wps:wsp>
                      <wps:cNvSpPr/>
                      <wps:spPr>
                        <a:xfrm>
                          <a:off x="0" y="0"/>
                          <a:ext cx="675565" cy="1364776"/>
                        </a:xfrm>
                        <a:prstGeom prst="rect">
                          <a:avLst/>
                        </a:prstGeom>
                        <a:noFill/>
                        <a:ln>
                          <a:noFill/>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632391" id="Rectangle 5" o:spid="_x0000_s1026" style="position:absolute;margin-left:12.45pt;margin-top:16.65pt;width:53.2pt;height:107.4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" filled="f" stroked="f"/>
            </w:pict>
          </mc:Fallback>
        </mc:AlternateContent>
      </w:r>
      <w:r w:rsidR="00B03AC3">
        <w:t>2.</w:t>
      </w:r>
      <w:r w:rsidR="002843A0">
        <w:t xml:space="preserve"> Préciser le nom de la</w:t>
      </w:r>
      <w:r w:rsidR="00C909B4">
        <w:t xml:space="preserve"> macromolécule mise en évidence </w:t>
      </w:r>
      <w:r w:rsidR="002843A0">
        <w:t>par l’eau iodée dans l’expérience du Doc. 7 et indiquer les</w:t>
      </w:r>
      <w:r w:rsidR="00C909B4">
        <w:t xml:space="preserve"> </w:t>
      </w:r>
      <w:r w:rsidR="002843A0">
        <w:t>couleurs obtenues en cas de test positif ou négatif.</w:t>
      </w:r>
    </w:p>
    <w:p w14:paraId="4579B6C9" w14:textId="77777777" w:rsidR="00362140" w:rsidRDefault="00362140" w:rsidP="001D2BCA">
      <w:pPr>
        <w:pStyle w:val="TTextecourant"/>
      </w:pPr>
      <w:r>
        <w:t>Les test</w:t>
      </w:r>
      <w:r w:rsidR="00D7575C">
        <w:t>s</w:t>
      </w:r>
      <w:r>
        <w:t xml:space="preserve"> à l’eau iodée </w:t>
      </w:r>
      <w:r w:rsidR="00D7575C">
        <w:t>son</w:t>
      </w:r>
      <w:r>
        <w:t>t utilisé</w:t>
      </w:r>
      <w:r w:rsidR="00D7575C">
        <w:t>s</w:t>
      </w:r>
      <w:r>
        <w:t xml:space="preserve"> pour mettre en évidence la présence d’amidon. Un test négatif est jaune et un test positif est bleu foncé-noir.</w:t>
      </w:r>
    </w:p>
    <w:p w14:paraId="696614FC" w14:textId="77777777" w:rsidR="00B03AC3" w:rsidRDefault="00B03AC3" w:rsidP="009D53C0">
      <w:pPr>
        <w:pStyle w:val="06Questionenonce"/>
      </w:pPr>
      <w:r>
        <w:t>3.</w:t>
      </w:r>
      <w:r w:rsidR="002843A0">
        <w:t xml:space="preserve"> Donner les résultats de l’expérience réalisée d</w:t>
      </w:r>
      <w:r w:rsidR="00C909B4">
        <w:t xml:space="preserve">ans le </w:t>
      </w:r>
      <w:r w:rsidR="002843A0">
        <w:t>Doc. 7.</w:t>
      </w:r>
    </w:p>
    <w:p w14:paraId="0C3FEAD5" w14:textId="77777777" w:rsidR="00362140" w:rsidRDefault="00362140" w:rsidP="001D2BCA">
      <w:pPr>
        <w:pStyle w:val="TTextecourant"/>
      </w:pPr>
      <w:r>
        <w:t>Dans le bécher, on observe une couleur foncée et dans la coquille une couleur jaune.</w:t>
      </w:r>
    </w:p>
    <w:p w14:paraId="0B209458" w14:textId="77777777" w:rsidR="00B03AC3" w:rsidRDefault="00B03AC3" w:rsidP="009D53C0">
      <w:pPr>
        <w:pStyle w:val="06Questionenonce"/>
      </w:pPr>
      <w:r>
        <w:t>4.</w:t>
      </w:r>
      <w:r w:rsidR="002843A0">
        <w:t xml:space="preserve"> Préciser le mouvement des molécules mis en évidence.</w:t>
      </w:r>
    </w:p>
    <w:p w14:paraId="7BE7B8D3" w14:textId="77777777" w:rsidR="00362140" w:rsidRDefault="00362140" w:rsidP="001D2BCA">
      <w:pPr>
        <w:pStyle w:val="TTextecourant"/>
      </w:pPr>
      <w:r>
        <w:t>L’eau iodée est passée du compartiment 1 au 2. L’amidon est resté dans le compartiment 2.</w:t>
      </w:r>
    </w:p>
    <w:p w14:paraId="03AA7416" w14:textId="77777777" w:rsidR="00B03AC3" w:rsidRDefault="00B03AC3" w:rsidP="009D53C0">
      <w:pPr>
        <w:pStyle w:val="06Questionenonce"/>
      </w:pPr>
      <w:r>
        <w:lastRenderedPageBreak/>
        <w:t>5.</w:t>
      </w:r>
      <w:r w:rsidR="002843A0">
        <w:t xml:space="preserve"> </w:t>
      </w:r>
      <w:r w:rsidR="00C909B4">
        <w:t>Justifi</w:t>
      </w:r>
      <w:r w:rsidR="002843A0">
        <w:t>er le terme de membrane sélective</w:t>
      </w:r>
      <w:r w:rsidR="00C909B4">
        <w:t xml:space="preserve"> </w:t>
      </w:r>
      <w:r w:rsidR="002843A0">
        <w:t>donné aux membranes biologiques à partir</w:t>
      </w:r>
      <w:r w:rsidR="00C909B4">
        <w:t xml:space="preserve"> </w:t>
      </w:r>
      <w:r w:rsidR="002843A0">
        <w:t>de l’expérience du Doc. 7 dont des exemples</w:t>
      </w:r>
      <w:r w:rsidR="00C909B4">
        <w:t xml:space="preserve"> </w:t>
      </w:r>
      <w:r w:rsidR="002843A0">
        <w:t>de résultats sont donnés dans le Doc. 8.</w:t>
      </w:r>
    </w:p>
    <w:p w14:paraId="3D34262A" w14:textId="77777777" w:rsidR="00362140" w:rsidRDefault="00362140" w:rsidP="001D2BCA">
      <w:pPr>
        <w:pStyle w:val="TTextecourant"/>
      </w:pPr>
      <w:r>
        <w:t>Les membranes biologiques sont des membranes sélectives car certaines molécules peuvent les franchir (eau iodée) et d’autres non (amidon).</w:t>
      </w:r>
    </w:p>
    <w:p w14:paraId="14A8FF9D" w14:textId="77777777" w:rsidR="00B03AC3" w:rsidRDefault="00B03AC3" w:rsidP="009D53C0">
      <w:pPr>
        <w:pStyle w:val="06Questionenonce"/>
      </w:pPr>
      <w:r>
        <w:t>6.</w:t>
      </w:r>
      <w:r w:rsidR="002843A0">
        <w:t xml:space="preserve"> Préciser le paramètre i</w:t>
      </w:r>
      <w:r w:rsidR="00C909B4">
        <w:t xml:space="preserve">mpliqué dans le </w:t>
      </w:r>
      <w:r w:rsidR="002843A0">
        <w:t>passage à travers la membrane mis en</w:t>
      </w:r>
      <w:r w:rsidR="00C909B4">
        <w:t xml:space="preserve"> </w:t>
      </w:r>
      <w:r w:rsidR="002843A0">
        <w:t>évidence.</w:t>
      </w:r>
    </w:p>
    <w:p w14:paraId="3262E228" w14:textId="77777777" w:rsidR="00362140" w:rsidRDefault="00362140" w:rsidP="001D2BCA">
      <w:pPr>
        <w:pStyle w:val="TTextecourant"/>
      </w:pPr>
      <w:r>
        <w:t>Dans le cas présenté</w:t>
      </w:r>
      <w:r w:rsidR="00AE7E1E">
        <w:t>,</w:t>
      </w:r>
      <w:r>
        <w:t xml:space="preserve"> les petites molécules de diode passent à travers la membrane, mais l’amidon qui est une macromolécule ne peut franchir la membrane biologique.</w:t>
      </w:r>
    </w:p>
    <w:p w14:paraId="168AF43F" w14:textId="27C89E0F" w:rsidR="002843A0" w:rsidRPr="001D68EC" w:rsidRDefault="002843A0" w:rsidP="009D53C0">
      <w:pPr>
        <w:pStyle w:val="06Questionenonce"/>
      </w:pPr>
      <w:r w:rsidRPr="001D68EC">
        <w:t>7 Indiquer les résultats prévisibles de l’</w:t>
      </w:r>
      <w:r w:rsidR="00C909B4" w:rsidRPr="001D68EC">
        <w:t xml:space="preserve">inversion </w:t>
      </w:r>
      <w:r w:rsidRPr="001D68EC">
        <w:t>des compartiments (eau iodée dans le</w:t>
      </w:r>
      <w:r w:rsidR="00C909B4" w:rsidRPr="001D68EC">
        <w:t xml:space="preserve"> </w:t>
      </w:r>
      <w:r w:rsidRPr="001D68EC">
        <w:t>bécher et solution d’amidon dans l’</w:t>
      </w:r>
      <w:r w:rsidR="009D53C0" w:rsidRPr="001D68EC">
        <w:t>œuf</w:t>
      </w:r>
      <w:r w:rsidRPr="001D68EC">
        <w:t>).</w:t>
      </w:r>
    </w:p>
    <w:p w14:paraId="56647F5D" w14:textId="1045283E" w:rsidR="001D68EC" w:rsidRPr="00C909B4" w:rsidRDefault="001D68EC" w:rsidP="001D68EC">
      <w:pPr>
        <w:pStyle w:val="TTextecourant"/>
      </w:pPr>
      <w:r>
        <w:t xml:space="preserve">On observera une </w:t>
      </w:r>
      <w:r w:rsidRPr="00B216DB">
        <w:t>couleur foncée dans l'œuf et jaune dans le bécher (l'eau iodée passe dans le compartiment supérieur et réagit avec l'amidon</w:t>
      </w:r>
      <w:r>
        <w:t>)</w:t>
      </w:r>
      <w:r w:rsidRPr="00B216DB">
        <w:t>.</w:t>
      </w:r>
    </w:p>
    <w:p w14:paraId="6BC8D4F3" w14:textId="77777777" w:rsidR="00362140" w:rsidRDefault="00D7575C" w:rsidP="00AE7E1E">
      <w:pPr>
        <w:pStyle w:val="IDEXOQCM"/>
      </w:pPr>
      <w:r>
        <w:t xml:space="preserve">Activité </w:t>
      </w:r>
      <w:r w:rsidR="00362140">
        <w:t>4</w:t>
      </w:r>
      <w:r w:rsidR="00AE7E1E">
        <w:t xml:space="preserve"> </w:t>
      </w:r>
      <w:r>
        <w:t>Distinguer les diff</w:t>
      </w:r>
      <w:r w:rsidR="002843A0">
        <w:t>érents types de transports de molécules</w:t>
      </w:r>
    </w:p>
    <w:p w14:paraId="129E53BC" w14:textId="77777777" w:rsidR="00B03AC3" w:rsidRPr="009D53C0" w:rsidRDefault="00B03AC3" w:rsidP="009D53C0">
      <w:pPr>
        <w:pStyle w:val="06Questionenonce"/>
      </w:pPr>
      <w:r w:rsidRPr="009D53C0">
        <w:t>1.</w:t>
      </w:r>
      <w:r w:rsidR="002843A0" w:rsidRPr="009D53C0">
        <w:t xml:space="preserve"> Préciser, à partir des règles de l’osmose présentées dans le Doc. 9</w:t>
      </w:r>
      <w:r w:rsidR="00C909B4" w:rsidRPr="009D53C0">
        <w:t xml:space="preserve">, </w:t>
      </w:r>
      <w:r w:rsidR="002843A0" w:rsidRPr="009D53C0">
        <w:t>l’</w:t>
      </w:r>
      <w:r w:rsidR="00C909B4" w:rsidRPr="009D53C0">
        <w:t>infl</w:t>
      </w:r>
      <w:r w:rsidR="002843A0" w:rsidRPr="009D53C0">
        <w:t>uence sur l’absorption d’eau de la présence d’une quantité excessive</w:t>
      </w:r>
      <w:r w:rsidR="00C909B4" w:rsidRPr="009D53C0">
        <w:t xml:space="preserve"> </w:t>
      </w:r>
      <w:r w:rsidR="002843A0" w:rsidRPr="009D53C0">
        <w:t>de sel dans l’alimentation.</w:t>
      </w:r>
    </w:p>
    <w:p w14:paraId="5EFF04AC" w14:textId="77777777" w:rsidR="00362140" w:rsidRDefault="00362140" w:rsidP="001D2BCA">
      <w:pPr>
        <w:pStyle w:val="TTextecourant"/>
      </w:pPr>
      <w:r>
        <w:t>Un excès de sel dans l’alimentation se répercutera dans la lumière du tube digestif, ce qui par osmose entraînera une sortie d’eau du milieu intérieur vers la lumière du tube digestif.</w:t>
      </w:r>
    </w:p>
    <w:p w14:paraId="78632F38" w14:textId="77777777" w:rsidR="00B03AC3" w:rsidRDefault="00B03AC3" w:rsidP="009D53C0">
      <w:pPr>
        <w:pStyle w:val="06Questionenonce"/>
      </w:pPr>
      <w:r>
        <w:t>2.</w:t>
      </w:r>
      <w:r w:rsidR="002843A0">
        <w:t xml:space="preserve"> </w:t>
      </w:r>
      <w:r w:rsidR="002843A0" w:rsidRPr="002843A0">
        <w:t>Expliquer les problèmes liés à la consommation d’eau de mer.</w:t>
      </w:r>
    </w:p>
    <w:p w14:paraId="10177766" w14:textId="77777777" w:rsidR="00362140" w:rsidRDefault="00362140" w:rsidP="001D2BCA">
      <w:pPr>
        <w:pStyle w:val="TTextecourant"/>
      </w:pPr>
      <w:r>
        <w:t>L’eau de mer, très salée</w:t>
      </w:r>
      <w:r w:rsidR="00AE7E1E">
        <w:t>,</w:t>
      </w:r>
      <w:r>
        <w:t xml:space="preserve"> entraîne une perte d’eau et une déshydratation.</w:t>
      </w:r>
    </w:p>
    <w:p w14:paraId="6F4C47DD" w14:textId="77777777" w:rsidR="00B03AC3" w:rsidRDefault="00B03AC3" w:rsidP="009D53C0">
      <w:pPr>
        <w:pStyle w:val="06Questionenonce"/>
      </w:pPr>
      <w:r>
        <w:t>3.</w:t>
      </w:r>
      <w:r w:rsidR="002843A0">
        <w:t xml:space="preserve"> Mettre en relation la consommat</w:t>
      </w:r>
      <w:r w:rsidR="00C909B4">
        <w:t>ion d’énergie et les diff</w:t>
      </w:r>
      <w:r w:rsidR="002843A0">
        <w:t>érences de concentration entre le cytoplasme</w:t>
      </w:r>
      <w:r w:rsidR="00C909B4">
        <w:t xml:space="preserve"> </w:t>
      </w:r>
      <w:r w:rsidR="002843A0">
        <w:t>et le milieu extérieur (lumière du tube digestif) à</w:t>
      </w:r>
      <w:r w:rsidR="00C909B4">
        <w:t xml:space="preserve"> </w:t>
      </w:r>
      <w:r w:rsidR="002843A0">
        <w:t>l’aide du Doc. 10.</w:t>
      </w:r>
    </w:p>
    <w:p w14:paraId="5C6DD1E2" w14:textId="77777777" w:rsidR="00362140" w:rsidRDefault="00362140" w:rsidP="001D2BCA">
      <w:pPr>
        <w:pStyle w:val="TTextecourant"/>
      </w:pPr>
      <w:r>
        <w:t>Le fructose et l’acide oléique, en excès dans la lumière du tube digestif</w:t>
      </w:r>
      <w:r w:rsidR="00AE7E1E">
        <w:t>,</w:t>
      </w:r>
      <w:r>
        <w:t xml:space="preserve"> sont transportés dans le cytoplasme sans consommation d’énergie. On dit qu’ils sont transportés dans le sens de leur gradient de concentration.</w:t>
      </w:r>
    </w:p>
    <w:p w14:paraId="7C19BAD1" w14:textId="77777777" w:rsidR="00362140" w:rsidRDefault="00362140" w:rsidP="001D2BCA">
      <w:pPr>
        <w:pStyle w:val="TTextecourant"/>
      </w:pPr>
      <w:r>
        <w:t>Le transport du glucose contre son gradient de concentration nécessite un apport d’énergie.</w:t>
      </w:r>
    </w:p>
    <w:p w14:paraId="0220DD77" w14:textId="77777777" w:rsidR="00362140" w:rsidRDefault="00362140" w:rsidP="001D2BCA">
      <w:pPr>
        <w:pStyle w:val="TTextecourant"/>
      </w:pPr>
      <w:r>
        <w:t xml:space="preserve">On note que les transporteurs membranaires peuvent participer au transport dans un sens ou </w:t>
      </w:r>
      <w:r w:rsidR="00AE7E1E">
        <w:t xml:space="preserve">dans </w:t>
      </w:r>
      <w:r>
        <w:t>un autre.</w:t>
      </w:r>
    </w:p>
    <w:p w14:paraId="41DCC352" w14:textId="77777777" w:rsidR="00B03AC3" w:rsidRDefault="00B03AC3" w:rsidP="009D53C0">
      <w:pPr>
        <w:pStyle w:val="06Questionenonce"/>
      </w:pPr>
      <w:r>
        <w:t>4.</w:t>
      </w:r>
      <w:r w:rsidR="00CB2DF6">
        <w:t xml:space="preserve"> Justifi</w:t>
      </w:r>
      <w:r w:rsidR="002843A0">
        <w:t xml:space="preserve">er le terme de </w:t>
      </w:r>
      <w:r w:rsidR="00C909B4">
        <w:t xml:space="preserve">transport actif pour le glucose </w:t>
      </w:r>
      <w:r w:rsidR="002843A0">
        <w:t>et de transport passif pour le fructose.</w:t>
      </w:r>
    </w:p>
    <w:p w14:paraId="4D3DF742" w14:textId="77777777" w:rsidR="00362140" w:rsidRDefault="00362140" w:rsidP="001D2BCA">
      <w:pPr>
        <w:pStyle w:val="TTextecourant"/>
      </w:pPr>
      <w:r>
        <w:t>On parle de transport passif pour le fructose car il ne nécessite pas d’énergie et de transport actif pour le glucose car de l’énergie est consommée pour permettre ce transport.</w:t>
      </w:r>
    </w:p>
    <w:p w14:paraId="5D4380FB" w14:textId="77777777" w:rsidR="00B03AC3" w:rsidRDefault="00B03AC3" w:rsidP="009D53C0">
      <w:pPr>
        <w:pStyle w:val="06Questionenonce"/>
      </w:pPr>
      <w:r>
        <w:t>5.</w:t>
      </w:r>
      <w:r w:rsidR="002843A0">
        <w:t xml:space="preserve"> Faire le lien entre la polarité (e</w:t>
      </w:r>
      <w:r w:rsidR="00C909B4">
        <w:t xml:space="preserve">t/ou la solubilité) et </w:t>
      </w:r>
      <w:r w:rsidR="002843A0">
        <w:t>la présence ou non d’un transporteur membranaire</w:t>
      </w:r>
      <w:r w:rsidR="00C909B4">
        <w:t xml:space="preserve"> </w:t>
      </w:r>
      <w:r w:rsidR="002843A0">
        <w:t>en comparant les informations du Doc. 10.</w:t>
      </w:r>
    </w:p>
    <w:p w14:paraId="01B80D81" w14:textId="77777777" w:rsidR="00362140" w:rsidRDefault="00362140" w:rsidP="001D2BCA">
      <w:pPr>
        <w:pStyle w:val="TTextecourant"/>
      </w:pPr>
      <w:r>
        <w:t>Les acides gras, apolaires</w:t>
      </w:r>
      <w:r w:rsidR="00AE7E1E">
        <w:t>,</w:t>
      </w:r>
      <w:r>
        <w:t xml:space="preserve"> peuvent traverser directement la membrane plasmique, ce qui n’est pas le cas des molécules polaires qui nécessitent un transporteur.</w:t>
      </w:r>
    </w:p>
    <w:p w14:paraId="0CEACC0F" w14:textId="644A1BC8" w:rsidR="00362140" w:rsidRPr="001D68EC" w:rsidRDefault="00362140" w:rsidP="009D53C0">
      <w:pPr>
        <w:pStyle w:val="06Questionenonce"/>
      </w:pPr>
      <w:r w:rsidRPr="001D68EC">
        <w:lastRenderedPageBreak/>
        <w:t xml:space="preserve">6. </w:t>
      </w:r>
      <w:r w:rsidR="00C909B4" w:rsidRPr="001D68EC">
        <w:t xml:space="preserve">Faire un schéma du transport du </w:t>
      </w:r>
      <w:r w:rsidR="002843A0" w:rsidRPr="001D68EC">
        <w:t>glucose de la lumière intestinale au</w:t>
      </w:r>
      <w:r w:rsidR="00C909B4" w:rsidRPr="001D68EC">
        <w:t xml:space="preserve"> </w:t>
      </w:r>
      <w:r w:rsidR="002843A0" w:rsidRPr="001D68EC">
        <w:t>tissu conjonctif à partir des informations</w:t>
      </w:r>
      <w:r w:rsidR="00C909B4" w:rsidRPr="001D68EC">
        <w:t xml:space="preserve"> </w:t>
      </w:r>
      <w:r w:rsidR="002843A0" w:rsidRPr="001D68EC">
        <w:t>du Doc. 11.</w:t>
      </w:r>
    </w:p>
    <w:p w14:paraId="0A18A5EB" w14:textId="6EA1EF2D" w:rsidR="001D68EC" w:rsidRPr="009D53C0" w:rsidRDefault="001D68EC" w:rsidP="009D53C0">
      <w:pPr>
        <w:pStyle w:val="06Questionenonce"/>
      </w:pPr>
      <w:r>
        <w:rPr>
          <w:b w:val="0"/>
          <w:bCs w:val="0"/>
          <w:noProof/>
        </w:rPr>
        <w:drawing>
          <wp:inline distT="0" distB="0" distL="0" distR="0" wp14:anchorId="55618423" wp14:editId="2AE8784A">
            <wp:extent cx="5761355" cy="3615055"/>
            <wp:effectExtent l="0" t="0" r="0" b="444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1355" cy="3615055"/>
                    </a:xfrm>
                    <a:prstGeom prst="rect">
                      <a:avLst/>
                    </a:prstGeom>
                    <a:noFill/>
                    <a:ln w="9525">
                      <a:noFill/>
                      <a:miter lim="800000"/>
                      <a:headEnd/>
                      <a:tailEnd/>
                    </a:ln>
                  </pic:spPr>
                </pic:pic>
              </a:graphicData>
            </a:graphic>
          </wp:inline>
        </w:drawing>
      </w:r>
    </w:p>
    <w:p w14:paraId="26A305CA" w14:textId="77777777" w:rsidR="00362140" w:rsidRPr="009D53C0" w:rsidRDefault="00D7575C" w:rsidP="009D53C0">
      <w:pPr>
        <w:pStyle w:val="04Exercicestitre"/>
      </w:pPr>
      <w:r>
        <w:t xml:space="preserve">Activité </w:t>
      </w:r>
      <w:r w:rsidR="00362140" w:rsidRPr="009D53C0">
        <w:t>5</w:t>
      </w:r>
      <w:r w:rsidR="00AE7E1E">
        <w:t xml:space="preserve"> </w:t>
      </w:r>
      <w:r w:rsidR="002843A0" w:rsidRPr="009D53C0">
        <w:t>Décrire l’alactasie</w:t>
      </w:r>
    </w:p>
    <w:p w14:paraId="5721D28A" w14:textId="77777777" w:rsidR="00B03AC3" w:rsidRDefault="00B03AC3" w:rsidP="00CB2DF6">
      <w:pPr>
        <w:pStyle w:val="06Questionenonce"/>
      </w:pPr>
      <w:r>
        <w:t>1.</w:t>
      </w:r>
      <w:r w:rsidR="002843A0">
        <w:t xml:space="preserve"> </w:t>
      </w:r>
      <w:r w:rsidR="002843A0" w:rsidRPr="002843A0">
        <w:t>Déterminer, parmi les aliments de l’histogramme du Doc. 12, ceux qui sont les plus riches en lactose.</w:t>
      </w:r>
    </w:p>
    <w:p w14:paraId="4796E39E" w14:textId="77777777" w:rsidR="00362140" w:rsidRDefault="00362140" w:rsidP="001D2BCA">
      <w:pPr>
        <w:pStyle w:val="TTextecourant"/>
      </w:pPr>
      <w:r>
        <w:t>Les aliments les plus riches en lactose sont situés à droite de l’histogramme : lait et yaourt</w:t>
      </w:r>
      <w:r w:rsidR="00AE7E1E">
        <w:t>.</w:t>
      </w:r>
    </w:p>
    <w:p w14:paraId="02A700B7" w14:textId="77777777" w:rsidR="00B03AC3" w:rsidRDefault="00B03AC3" w:rsidP="00CB2DF6">
      <w:pPr>
        <w:pStyle w:val="06Questionenonce"/>
      </w:pPr>
      <w:r>
        <w:t>2.</w:t>
      </w:r>
      <w:r w:rsidR="002843A0">
        <w:t xml:space="preserve"> </w:t>
      </w:r>
      <w:r w:rsidR="002843A0" w:rsidRPr="002843A0">
        <w:t>Nommer la molécule qui semble impliquée dans les problèmes d’alactasie.</w:t>
      </w:r>
    </w:p>
    <w:p w14:paraId="5BD31790" w14:textId="77777777" w:rsidR="00362140" w:rsidRDefault="00362140" w:rsidP="001D2BCA">
      <w:pPr>
        <w:pStyle w:val="TTextecourant"/>
      </w:pPr>
      <w:r>
        <w:t xml:space="preserve">Le lactose semble impliqué dans l’alactasie, car ses symptômes sont ressentis après </w:t>
      </w:r>
      <w:r w:rsidR="00AE7E1E">
        <w:t xml:space="preserve">la </w:t>
      </w:r>
      <w:r>
        <w:t xml:space="preserve">consommation de lait et moins après </w:t>
      </w:r>
      <w:r w:rsidR="00AE7E1E">
        <w:t xml:space="preserve">la </w:t>
      </w:r>
      <w:r>
        <w:t>consommation de beurre</w:t>
      </w:r>
      <w:r w:rsidR="00AE7E1E">
        <w:t>.</w:t>
      </w:r>
    </w:p>
    <w:p w14:paraId="4C3BDA2A" w14:textId="77777777" w:rsidR="00B03AC3" w:rsidRDefault="00B03AC3" w:rsidP="00CB2DF6">
      <w:pPr>
        <w:pStyle w:val="06Questionenonce"/>
      </w:pPr>
      <w:r>
        <w:t>3.</w:t>
      </w:r>
      <w:r w:rsidR="002843A0">
        <w:t xml:space="preserve"> Rappeler dans quelle région de l’intestin</w:t>
      </w:r>
      <w:r w:rsidR="00CB2DF6">
        <w:t xml:space="preserve"> </w:t>
      </w:r>
      <w:r w:rsidR="002843A0">
        <w:t>grêle se termine la digestion et dans quelle(s)</w:t>
      </w:r>
      <w:r w:rsidR="00CB2DF6">
        <w:t xml:space="preserve"> </w:t>
      </w:r>
      <w:r w:rsidR="002843A0">
        <w:t>région(s) commence l’absorption intestinale.</w:t>
      </w:r>
    </w:p>
    <w:p w14:paraId="2F2D487D" w14:textId="77777777" w:rsidR="00362140" w:rsidRDefault="00362140" w:rsidP="001D2BCA">
      <w:pPr>
        <w:pStyle w:val="TTextecourant"/>
      </w:pPr>
      <w:r>
        <w:t>La digestion se termine au niveau du duodénum (1</w:t>
      </w:r>
      <w:r w:rsidRPr="00DF6DBE">
        <w:rPr>
          <w:vertAlign w:val="superscript"/>
        </w:rPr>
        <w:t>re</w:t>
      </w:r>
      <w:r>
        <w:t xml:space="preserve"> portion de l’</w:t>
      </w:r>
      <w:proofErr w:type="spellStart"/>
      <w:r>
        <w:t>i.g</w:t>
      </w:r>
      <w:proofErr w:type="spellEnd"/>
      <w:r>
        <w:t>.) et l’absorption débute à ce même endroit et au niveau du jéjunum (2</w:t>
      </w:r>
      <w:r w:rsidRPr="00DF6DBE">
        <w:rPr>
          <w:vertAlign w:val="superscript"/>
        </w:rPr>
        <w:t>e</w:t>
      </w:r>
      <w:r>
        <w:t xml:space="preserve"> portion de l’</w:t>
      </w:r>
      <w:proofErr w:type="spellStart"/>
      <w:r>
        <w:t>i.g</w:t>
      </w:r>
      <w:proofErr w:type="spellEnd"/>
      <w:r>
        <w:t>.).</w:t>
      </w:r>
    </w:p>
    <w:p w14:paraId="7742A4F8" w14:textId="77777777" w:rsidR="00B03AC3" w:rsidRDefault="00B03AC3" w:rsidP="00CB2DF6">
      <w:pPr>
        <w:pStyle w:val="06Questionenonce"/>
      </w:pPr>
      <w:r>
        <w:t>4.</w:t>
      </w:r>
      <w:r w:rsidR="002843A0">
        <w:t xml:space="preserve"> Comparer la structure des muqueuses intestinales</w:t>
      </w:r>
      <w:r w:rsidR="00CB2DF6">
        <w:t xml:space="preserve"> </w:t>
      </w:r>
      <w:r w:rsidR="002843A0">
        <w:t>du Doc. 13 et conclure sur la possibilité</w:t>
      </w:r>
      <w:r w:rsidR="00CB2DF6">
        <w:t xml:space="preserve"> </w:t>
      </w:r>
      <w:r w:rsidR="002843A0">
        <w:t>que l’alactasie soit une malabsorption due</w:t>
      </w:r>
      <w:r w:rsidR="00CB2DF6">
        <w:t xml:space="preserve"> </w:t>
      </w:r>
      <w:r w:rsidR="002843A0">
        <w:t>à une anomalie structurale de la muqueuse</w:t>
      </w:r>
      <w:r w:rsidR="00CB2DF6">
        <w:t xml:space="preserve"> </w:t>
      </w:r>
      <w:r w:rsidR="002843A0">
        <w:t>intestinale.</w:t>
      </w:r>
    </w:p>
    <w:p w14:paraId="52BFBBD3" w14:textId="77777777" w:rsidR="00362140" w:rsidRDefault="00362140" w:rsidP="001D2BCA">
      <w:pPr>
        <w:pStyle w:val="TTextecourant"/>
      </w:pPr>
      <w:r>
        <w:t>La muqueuse intestinale du patient souffrant d’alactasie ne présente pas de différence avec celle d’un patient sain. L’alactasie ne semble pas être due à une anomalie structurale de la muqueuse intestinale.</w:t>
      </w:r>
    </w:p>
    <w:p w14:paraId="20955FB3" w14:textId="6C84F894" w:rsidR="00B03AC3" w:rsidRDefault="00B03AC3" w:rsidP="00CB2DF6">
      <w:pPr>
        <w:pStyle w:val="06Questionenonce"/>
      </w:pPr>
      <w:r>
        <w:t>5.</w:t>
      </w:r>
      <w:r w:rsidR="002843A0">
        <w:t xml:space="preserve"> </w:t>
      </w:r>
      <w:r w:rsidR="002843A0" w:rsidRPr="002843A0">
        <w:t>Indiquer à quel type de déficience l’alactasie peut être attribuée, d’après les Doc.</w:t>
      </w:r>
      <w:r w:rsidR="001D68EC">
        <w:t> </w:t>
      </w:r>
      <w:r w:rsidR="002843A0" w:rsidRPr="002843A0">
        <w:t>12, Doc.</w:t>
      </w:r>
      <w:r w:rsidR="001D68EC">
        <w:t> </w:t>
      </w:r>
      <w:r w:rsidR="002843A0" w:rsidRPr="002843A0">
        <w:t>13 et Doc.</w:t>
      </w:r>
      <w:r w:rsidR="001D68EC">
        <w:t> </w:t>
      </w:r>
      <w:r w:rsidR="002843A0" w:rsidRPr="002843A0">
        <w:t>14.</w:t>
      </w:r>
    </w:p>
    <w:p w14:paraId="1D852BE6" w14:textId="44413183" w:rsidR="00362140" w:rsidRDefault="00362140" w:rsidP="001D2BCA">
      <w:pPr>
        <w:pStyle w:val="TTextecourant"/>
      </w:pPr>
      <w:r>
        <w:t>L’alactasie est due à une déficience enzymatique : l’enzyme (la lactase) qui hydrolyse le lactose en glucose et galactose est non fonctionnelle</w:t>
      </w:r>
      <w:r w:rsidR="00AE7E1E">
        <w:t>.</w:t>
      </w:r>
    </w:p>
    <w:p w14:paraId="774753E0" w14:textId="77777777" w:rsidR="00093193" w:rsidRDefault="00093193">
      <w:pPr>
        <w:spacing w:after="200" w:line="23" w:lineRule="auto"/>
        <w:rPr>
          <w:rFonts w:ascii="GuidePedagoTimes-Bold" w:hAnsi="GuidePedagoTimes-Bold" w:cs="GuidePedagoTimes-Bold"/>
          <w:b/>
          <w:bCs/>
          <w:color w:val="000000"/>
          <w:spacing w:val="-1"/>
          <w:sz w:val="23"/>
          <w:szCs w:val="23"/>
        </w:rPr>
      </w:pPr>
      <w:r>
        <w:br w:type="page"/>
      </w:r>
    </w:p>
    <w:p w14:paraId="18F1D02D" w14:textId="5827507B" w:rsidR="00B03AC3" w:rsidRDefault="00B03AC3" w:rsidP="00CB2DF6">
      <w:pPr>
        <w:pStyle w:val="06Questionenonce"/>
      </w:pPr>
      <w:r>
        <w:lastRenderedPageBreak/>
        <w:t>6.</w:t>
      </w:r>
      <w:r w:rsidR="002843A0">
        <w:t xml:space="preserve"> Commenter et analyser les résultats</w:t>
      </w:r>
      <w:r w:rsidR="00CB2DF6">
        <w:t xml:space="preserve"> </w:t>
      </w:r>
      <w:r w:rsidR="002843A0">
        <w:t>de l’expérience du Doc. 15, en</w:t>
      </w:r>
      <w:r w:rsidR="00CB2DF6">
        <w:t xml:space="preserve"> </w:t>
      </w:r>
      <w:r w:rsidR="002843A0">
        <w:t>considérant que le boudin de dialyse</w:t>
      </w:r>
      <w:r w:rsidR="00CB2DF6">
        <w:t xml:space="preserve"> </w:t>
      </w:r>
      <w:r w:rsidR="002843A0">
        <w:t>représente l’intestin, avec sa partie</w:t>
      </w:r>
      <w:r w:rsidR="00CB2DF6">
        <w:t xml:space="preserve"> </w:t>
      </w:r>
      <w:r w:rsidR="002843A0">
        <w:t>intérieure correspondant à la lumière</w:t>
      </w:r>
      <w:r w:rsidR="00CB2DF6">
        <w:t xml:space="preserve"> </w:t>
      </w:r>
      <w:r w:rsidR="002843A0">
        <w:t>du tube digestif.</w:t>
      </w:r>
    </w:p>
    <w:p w14:paraId="0FCC1BFA" w14:textId="77777777" w:rsidR="00362140" w:rsidRDefault="00362140" w:rsidP="001D2BCA">
      <w:pPr>
        <w:pStyle w:val="TTextecourant"/>
      </w:pPr>
      <w:r>
        <w:t>Le lactose non hydrolysé par la lactase reste dans la lumière du tube digestif et l’absorption intestinale est déficiente.</w:t>
      </w:r>
    </w:p>
    <w:p w14:paraId="245A0031" w14:textId="0CD82AD7" w:rsidR="00B03AC3" w:rsidRDefault="00B03AC3" w:rsidP="00CB2DF6">
      <w:pPr>
        <w:pStyle w:val="06Questionenonce"/>
      </w:pPr>
      <w:r>
        <w:t>7.</w:t>
      </w:r>
      <w:r w:rsidR="002843A0">
        <w:t xml:space="preserve"> Déterminer, grâce aux résultats</w:t>
      </w:r>
      <w:r w:rsidR="00CB2DF6">
        <w:t xml:space="preserve"> </w:t>
      </w:r>
      <w:r w:rsidR="002843A0">
        <w:t>des expériences proposées dans le</w:t>
      </w:r>
      <w:r w:rsidR="00CB2DF6">
        <w:t xml:space="preserve"> </w:t>
      </w:r>
      <w:r w:rsidR="002843A0">
        <w:t>Doc.</w:t>
      </w:r>
      <w:r w:rsidR="001D68EC">
        <w:t> </w:t>
      </w:r>
      <w:r w:rsidR="002843A0">
        <w:t>14 et le Doc.</w:t>
      </w:r>
      <w:r w:rsidR="001D68EC">
        <w:t> </w:t>
      </w:r>
      <w:r w:rsidR="002843A0">
        <w:t>15, la cause des diarrhées</w:t>
      </w:r>
      <w:r w:rsidR="00CB2DF6">
        <w:t xml:space="preserve"> </w:t>
      </w:r>
      <w:r w:rsidR="002843A0">
        <w:t>décrites dans les sympt</w:t>
      </w:r>
      <w:r w:rsidR="00D7575C">
        <w:t>ô</w:t>
      </w:r>
      <w:r w:rsidR="002843A0">
        <w:t>mes</w:t>
      </w:r>
      <w:r w:rsidR="00CB2DF6">
        <w:t xml:space="preserve"> </w:t>
      </w:r>
      <w:r w:rsidR="002843A0">
        <w:t>de l’alactasie du Doc. 12.</w:t>
      </w:r>
    </w:p>
    <w:p w14:paraId="2BC61E63" w14:textId="77777777" w:rsidR="00362140" w:rsidRDefault="00362140" w:rsidP="001D2BCA">
      <w:pPr>
        <w:pStyle w:val="TTextecourant"/>
      </w:pPr>
      <w:r>
        <w:t>L’accumulation de lactose dans la lumière du tube digestif entraîne une sortie d’eau par osmose, ce qui est la cause des diarrhées lors de l’alactasie.</w:t>
      </w:r>
    </w:p>
    <w:p w14:paraId="6A88737C" w14:textId="77777777" w:rsidR="00B03AC3" w:rsidRDefault="00B03AC3" w:rsidP="00CB2DF6">
      <w:pPr>
        <w:pStyle w:val="06Questionenonce"/>
      </w:pPr>
      <w:r>
        <w:t>8.</w:t>
      </w:r>
      <w:r w:rsidR="002843A0">
        <w:t xml:space="preserve"> Déterminer si la lactase est impliquée</w:t>
      </w:r>
      <w:r w:rsidR="00CB2DF6">
        <w:t xml:space="preserve"> </w:t>
      </w:r>
      <w:r w:rsidR="002843A0">
        <w:t>dans la maladie c</w:t>
      </w:r>
      <w:r w:rsidR="00D7575C">
        <w:t>œ</w:t>
      </w:r>
      <w:r w:rsidR="002843A0">
        <w:t>liaque à l’aide des</w:t>
      </w:r>
      <w:r w:rsidR="00CB2DF6">
        <w:t xml:space="preserve"> </w:t>
      </w:r>
      <w:r w:rsidR="002843A0">
        <w:t>informations du Doc. 14.</w:t>
      </w:r>
    </w:p>
    <w:p w14:paraId="0FC34CBE" w14:textId="77777777" w:rsidR="00362140" w:rsidRDefault="00362140" w:rsidP="001D2BCA">
      <w:pPr>
        <w:pStyle w:val="TTextecourant"/>
      </w:pPr>
      <w:r>
        <w:t>La lactase est fonctionnelle dans le cas de la maladie c</w:t>
      </w:r>
      <w:r w:rsidR="00D7575C">
        <w:t>œ</w:t>
      </w:r>
      <w:r>
        <w:t>liaque.</w:t>
      </w:r>
    </w:p>
    <w:p w14:paraId="5263CFB1" w14:textId="77777777" w:rsidR="00B03AC3" w:rsidRDefault="00B03AC3" w:rsidP="00CB2DF6">
      <w:pPr>
        <w:pStyle w:val="06Questionenonce"/>
      </w:pPr>
      <w:r>
        <w:t>9.</w:t>
      </w:r>
      <w:r w:rsidR="00C909B4">
        <w:t xml:space="preserve"> Attribuer la maladie c</w:t>
      </w:r>
      <w:r w:rsidR="00D7575C">
        <w:t>œ</w:t>
      </w:r>
      <w:r w:rsidR="00C909B4">
        <w:t>liaque à une</w:t>
      </w:r>
      <w:r w:rsidR="00CB2DF6">
        <w:t xml:space="preserve"> défi</w:t>
      </w:r>
      <w:r w:rsidR="00C909B4">
        <w:t>cience structurale en comparant</w:t>
      </w:r>
      <w:r w:rsidR="00CB2DF6">
        <w:t xml:space="preserve"> </w:t>
      </w:r>
      <w:r w:rsidR="00C909B4">
        <w:t>le Doc. 13 et le Doc. 16.</w:t>
      </w:r>
    </w:p>
    <w:p w14:paraId="5A239BC1" w14:textId="77777777" w:rsidR="00362140" w:rsidRDefault="00362140" w:rsidP="001D2BCA">
      <w:pPr>
        <w:pStyle w:val="TTextecourant"/>
      </w:pPr>
      <w:r>
        <w:t>La maladie c</w:t>
      </w:r>
      <w:r w:rsidR="00D7575C">
        <w:t>œ</w:t>
      </w:r>
      <w:r>
        <w:t>liaque semble due à une absence de replis dans la muqueuse intestinale, ce qui diminue l’efficacité de l’absorption intestinale.</w:t>
      </w:r>
    </w:p>
    <w:p w14:paraId="231B2EE1" w14:textId="77777777" w:rsidR="00362140" w:rsidRDefault="00362140" w:rsidP="00C909B4">
      <w:pPr>
        <w:pStyle w:val="05ExerciceTitre"/>
        <w:keepNext w:val="0"/>
        <w:keepLines w:val="0"/>
        <w:suppressAutoHyphens w:val="0"/>
      </w:pPr>
      <w:r>
        <w:t>Exercice 1</w:t>
      </w:r>
      <w:r w:rsidR="001D2BCA">
        <w:t xml:space="preserve"> </w:t>
      </w:r>
      <w:r w:rsidR="00C909B4" w:rsidRPr="00C909B4">
        <w:t>Structure de la paroi intestinale</w:t>
      </w:r>
    </w:p>
    <w:p w14:paraId="64E23990" w14:textId="77777777" w:rsidR="00B03AC3" w:rsidRPr="001D2BCA" w:rsidRDefault="00B03AC3" w:rsidP="001D2BCA">
      <w:pPr>
        <w:pStyle w:val="06Questionenonce"/>
      </w:pPr>
      <w:r>
        <w:t>1.</w:t>
      </w:r>
      <w:r w:rsidR="001D2BCA">
        <w:t xml:space="preserve"> Donner un titre aux deux figures et compléter les légendes.</w:t>
      </w:r>
    </w:p>
    <w:p w14:paraId="55C7429F" w14:textId="392E4523" w:rsidR="00362140" w:rsidRDefault="00B03AC3" w:rsidP="001D2BCA">
      <w:pPr>
        <w:pStyle w:val="TTextecourant"/>
      </w:pPr>
      <w:r>
        <w:t>F</w:t>
      </w:r>
      <w:r w:rsidR="00362140">
        <w:t>ig</w:t>
      </w:r>
      <w:r w:rsidR="00AE7E1E">
        <w:t>ure</w:t>
      </w:r>
      <w:r w:rsidR="0055192F">
        <w:t> </w:t>
      </w:r>
      <w:r w:rsidR="00362140">
        <w:t>1 : organisation d’une villosité intestinale</w:t>
      </w:r>
      <w:r w:rsidR="00B57869">
        <w:t>.</w:t>
      </w:r>
    </w:p>
    <w:p w14:paraId="5853AA86" w14:textId="77777777" w:rsidR="00783DA3" w:rsidRDefault="00783DA3" w:rsidP="001D2BCA">
      <w:pPr>
        <w:pStyle w:val="TTextecourant"/>
      </w:pPr>
      <w:r>
        <w:t>A : entérocytes ; B : chylifère ; C : vaisseaux sanguins ; D : villosité.</w:t>
      </w:r>
    </w:p>
    <w:p w14:paraId="1CC1AB93" w14:textId="288749E6" w:rsidR="00362140" w:rsidRDefault="00362140" w:rsidP="001D2BCA">
      <w:pPr>
        <w:pStyle w:val="TTextecourant"/>
      </w:pPr>
      <w:r>
        <w:t>Fig</w:t>
      </w:r>
      <w:r w:rsidR="00B57869">
        <w:t>ure</w:t>
      </w:r>
      <w:r w:rsidR="0055192F">
        <w:t> </w:t>
      </w:r>
      <w:r>
        <w:t xml:space="preserve">2 : </w:t>
      </w:r>
      <w:r w:rsidR="00B57869">
        <w:t>o</w:t>
      </w:r>
      <w:r>
        <w:t>rganisation de la paroi intestinale</w:t>
      </w:r>
      <w:r w:rsidR="00B57869">
        <w:t>.</w:t>
      </w:r>
    </w:p>
    <w:p w14:paraId="4CDFF886" w14:textId="77777777" w:rsidR="00362140" w:rsidRDefault="00362140" w:rsidP="001D2BCA">
      <w:pPr>
        <w:pStyle w:val="TTextecourant"/>
      </w:pPr>
      <w:r>
        <w:t>G : séreuse</w:t>
      </w:r>
      <w:r w:rsidR="00B57869">
        <w:t> ;</w:t>
      </w:r>
      <w:r>
        <w:t xml:space="preserve"> H : musculeuse</w:t>
      </w:r>
      <w:r w:rsidR="00B57869">
        <w:t> ;</w:t>
      </w:r>
      <w:r>
        <w:t xml:space="preserve"> I : muqueuse</w:t>
      </w:r>
      <w:r w:rsidR="00B57869">
        <w:t> ;</w:t>
      </w:r>
      <w:r>
        <w:t xml:space="preserve"> J : villosité</w:t>
      </w:r>
      <w:r w:rsidR="00B57869">
        <w:t> ;</w:t>
      </w:r>
      <w:r>
        <w:t xml:space="preserve"> K : valvule connivente</w:t>
      </w:r>
      <w:r w:rsidR="00B57869">
        <w:t>.</w:t>
      </w:r>
    </w:p>
    <w:p w14:paraId="474E0984" w14:textId="77777777" w:rsidR="00CC0FAA" w:rsidRPr="001D2BCA" w:rsidRDefault="00CC0FAA" w:rsidP="001D2BCA">
      <w:pPr>
        <w:pStyle w:val="06Questionenonce"/>
      </w:pPr>
      <w:r>
        <w:t>2.</w:t>
      </w:r>
      <w:r w:rsidR="001D2BCA">
        <w:t xml:space="preserve"> Indiquer les structures qui permettent d’expliquer l’importance de la surface d’échange intestinale et préciser la méthode d’observation adaptée à chacune.</w:t>
      </w:r>
    </w:p>
    <w:p w14:paraId="17CFE8D1" w14:textId="77777777" w:rsidR="00362140" w:rsidRDefault="00362140" w:rsidP="00D7575C">
      <w:pPr>
        <w:pStyle w:val="TTextecourant"/>
      </w:pPr>
      <w:r>
        <w:t>Les valvules conniventes (K) sont observables à l’œil nu</w:t>
      </w:r>
      <w:r w:rsidR="00B57869">
        <w:t>.</w:t>
      </w:r>
    </w:p>
    <w:p w14:paraId="1E2367EE" w14:textId="77777777" w:rsidR="00362140" w:rsidRDefault="00362140" w:rsidP="00D7575C">
      <w:pPr>
        <w:pStyle w:val="TTextecourant"/>
      </w:pPr>
      <w:r>
        <w:t>Les villosités (D et J) sont observables au microscope optique</w:t>
      </w:r>
      <w:r w:rsidR="00B57869">
        <w:t>.</w:t>
      </w:r>
    </w:p>
    <w:p w14:paraId="4F56CC4F" w14:textId="77777777" w:rsidR="00362140" w:rsidRDefault="00362140" w:rsidP="00D7575C">
      <w:pPr>
        <w:pStyle w:val="TTextecourant"/>
      </w:pPr>
      <w:r>
        <w:t>Les microvillosités sont observables au microscope électronique.</w:t>
      </w:r>
    </w:p>
    <w:p w14:paraId="4FE8CB0A" w14:textId="77777777" w:rsidR="00CC0FAA" w:rsidRPr="001D2BCA" w:rsidRDefault="00CC0FAA" w:rsidP="001D2BCA">
      <w:pPr>
        <w:pStyle w:val="06Questionenonce"/>
      </w:pPr>
      <w:r>
        <w:t>3.</w:t>
      </w:r>
      <w:r w:rsidR="001D2BCA">
        <w:t xml:space="preserve"> Nommer le phénomène favorisé par l’augmentation de la surface d’échange.</w:t>
      </w:r>
    </w:p>
    <w:p w14:paraId="30C21E64" w14:textId="77777777" w:rsidR="00362140" w:rsidRDefault="00362140" w:rsidP="00D7575C">
      <w:pPr>
        <w:pStyle w:val="TTextecourant"/>
      </w:pPr>
      <w:r>
        <w:t>Cela favorise l’absorption intestinale.</w:t>
      </w:r>
    </w:p>
    <w:p w14:paraId="2214C16A" w14:textId="77777777" w:rsidR="00CC0FAA" w:rsidRPr="001D2BCA" w:rsidRDefault="00CC0FAA" w:rsidP="001D2BCA">
      <w:pPr>
        <w:pStyle w:val="06Questionenonce"/>
      </w:pPr>
      <w:r>
        <w:t>4.</w:t>
      </w:r>
      <w:r w:rsidR="001D2BCA">
        <w:t xml:space="preserve"> Comparer la voie utilisée par les nutriments lipidiques pour leur distribution dans l’organisme et la voie utilisée par le glucose.</w:t>
      </w:r>
    </w:p>
    <w:p w14:paraId="114CC63E" w14:textId="77777777" w:rsidR="00362140" w:rsidRDefault="00362140" w:rsidP="00D7575C">
      <w:pPr>
        <w:pStyle w:val="TTextecourant"/>
      </w:pPr>
      <w:r>
        <w:t>Les acides gras longs empruntent la voie lymphatique et le glucose les vaisseaux sanguins.</w:t>
      </w:r>
    </w:p>
    <w:p w14:paraId="495DFDFB" w14:textId="77777777" w:rsidR="00362140" w:rsidRDefault="00CC0FAA" w:rsidP="00C909B4">
      <w:pPr>
        <w:pStyle w:val="05ExerciceTitre"/>
        <w:keepNext w:val="0"/>
        <w:keepLines w:val="0"/>
        <w:suppressAutoHyphens w:val="0"/>
      </w:pPr>
      <w:r>
        <w:t>Exercice 2</w:t>
      </w:r>
      <w:r w:rsidR="00C909B4">
        <w:t xml:space="preserve"> </w:t>
      </w:r>
      <w:r w:rsidR="00C909B4" w:rsidRPr="00C909B4">
        <w:t>Maladie c</w:t>
      </w:r>
      <w:r w:rsidR="00D7575C">
        <w:t>œ</w:t>
      </w:r>
      <w:r w:rsidR="00C909B4" w:rsidRPr="00C909B4">
        <w:t>liaque</w:t>
      </w:r>
    </w:p>
    <w:p w14:paraId="35E56EA2" w14:textId="77777777" w:rsidR="00CC0FAA" w:rsidRDefault="00CC0FAA" w:rsidP="001D2BCA">
      <w:pPr>
        <w:pStyle w:val="06Questionenonce"/>
      </w:pPr>
      <w:r>
        <w:t>1.</w:t>
      </w:r>
      <w:r w:rsidR="001D2BCA">
        <w:t xml:space="preserve"> Définir la malabsorption.</w:t>
      </w:r>
    </w:p>
    <w:p w14:paraId="3DD21EA2" w14:textId="77777777" w:rsidR="00362140" w:rsidRDefault="00362140" w:rsidP="00D7575C">
      <w:pPr>
        <w:pStyle w:val="TTextecourant"/>
      </w:pPr>
      <w:r>
        <w:t>La malabsorption est une pathologie caractérisée par une mauvaise absorption intestinale.</w:t>
      </w:r>
    </w:p>
    <w:p w14:paraId="40EE0844" w14:textId="77777777" w:rsidR="00CC0FAA" w:rsidRPr="001D2BCA" w:rsidRDefault="00CC0FAA" w:rsidP="001D2BCA">
      <w:pPr>
        <w:pStyle w:val="06Questionenonce"/>
      </w:pPr>
      <w:r>
        <w:t>2.</w:t>
      </w:r>
      <w:r w:rsidR="001D2BCA">
        <w:t xml:space="preserve"> Préciser les deux causes possibles responsables d’une malabsorption.</w:t>
      </w:r>
    </w:p>
    <w:p w14:paraId="06BFE343" w14:textId="77777777" w:rsidR="00362140" w:rsidRDefault="00362140" w:rsidP="00D7575C">
      <w:pPr>
        <w:pStyle w:val="TTextecourant"/>
      </w:pPr>
      <w:r>
        <w:t xml:space="preserve">Une malabsorption peut être </w:t>
      </w:r>
      <w:r w:rsidR="00B57869">
        <w:t>d</w:t>
      </w:r>
      <w:r>
        <w:t>ue à une digestion incomplète des aliments ou à une modification de la muqueuse intestinale.</w:t>
      </w:r>
    </w:p>
    <w:p w14:paraId="0A7E2A8E" w14:textId="77777777" w:rsidR="00CC0FAA" w:rsidRPr="001D2BCA" w:rsidRDefault="00CC0FAA" w:rsidP="001D2BCA">
      <w:pPr>
        <w:pStyle w:val="06Questionenonce"/>
      </w:pPr>
      <w:r>
        <w:t>3.</w:t>
      </w:r>
      <w:r w:rsidR="001D2BCA">
        <w:t xml:space="preserve"> Identifier sur le document la modification structurelle du jéjunum liée à la maladie c</w:t>
      </w:r>
      <w:r w:rsidR="00D7575C">
        <w:t>œ</w:t>
      </w:r>
      <w:r w:rsidR="001D2BCA">
        <w:t>liaque.</w:t>
      </w:r>
    </w:p>
    <w:p w14:paraId="25333951" w14:textId="77777777" w:rsidR="00362140" w:rsidRDefault="00362140" w:rsidP="00D7575C">
      <w:pPr>
        <w:pStyle w:val="TTextecourant"/>
      </w:pPr>
      <w:r>
        <w:t>On n’observe plus de villosités intestinales.</w:t>
      </w:r>
    </w:p>
    <w:p w14:paraId="392AA6F4" w14:textId="77777777" w:rsidR="00CC0FAA" w:rsidRDefault="00CC0FAA" w:rsidP="001D2BCA">
      <w:pPr>
        <w:pStyle w:val="06Questionenonce"/>
      </w:pPr>
      <w:r>
        <w:t>4.</w:t>
      </w:r>
      <w:r w:rsidR="001D2BCA">
        <w:t xml:space="preserve"> Expliquer les conséquences de cette modification.</w:t>
      </w:r>
    </w:p>
    <w:p w14:paraId="34539FE7" w14:textId="77777777" w:rsidR="00362140" w:rsidRDefault="00362140" w:rsidP="00D7575C">
      <w:pPr>
        <w:pStyle w:val="TTextecourant"/>
      </w:pPr>
      <w:r>
        <w:t>Cela diminue fortement la surface d’absorption intestinale.</w:t>
      </w:r>
    </w:p>
    <w:p w14:paraId="072A42C7" w14:textId="77777777" w:rsidR="00CC0FAA" w:rsidRPr="001D2BCA" w:rsidRDefault="00362140" w:rsidP="001D2BCA">
      <w:pPr>
        <w:pStyle w:val="06Questionenonce"/>
      </w:pPr>
      <w:r w:rsidRPr="001D2BCA">
        <w:t>5.</w:t>
      </w:r>
      <w:r w:rsidR="001D2BCA" w:rsidRPr="001D2BCA">
        <w:t xml:space="preserve"> Décrire les principales conséquences répercussions pathologiques d’une malabsorption.</w:t>
      </w:r>
    </w:p>
    <w:p w14:paraId="7B50884F" w14:textId="77777777" w:rsidR="00362140" w:rsidRDefault="00362140" w:rsidP="00D7575C">
      <w:pPr>
        <w:pStyle w:val="TTextecourant"/>
      </w:pPr>
      <w:r>
        <w:t>Une malabsorption provoque des diarrhées et un amaigrissement.</w:t>
      </w:r>
    </w:p>
    <w:p w14:paraId="5B8A2B7E" w14:textId="77777777" w:rsidR="00CC0FAA" w:rsidRPr="001D2BCA" w:rsidRDefault="00CC0FAA" w:rsidP="001D2BCA">
      <w:pPr>
        <w:pStyle w:val="06Questionenonce"/>
      </w:pPr>
      <w:r>
        <w:lastRenderedPageBreak/>
        <w:t>6.</w:t>
      </w:r>
      <w:r w:rsidR="001D2BCA">
        <w:t xml:space="preserve"> Indiquer la précaution à prendre pour les personnes atteintes de cette maladie.</w:t>
      </w:r>
    </w:p>
    <w:p w14:paraId="5EB37715" w14:textId="77777777" w:rsidR="00362140" w:rsidRDefault="00362140" w:rsidP="00D7575C">
      <w:pPr>
        <w:pStyle w:val="TTextecourant"/>
      </w:pPr>
      <w:r>
        <w:t>Un régime sans gluten est conseillé.</w:t>
      </w:r>
    </w:p>
    <w:p w14:paraId="25EC5991" w14:textId="77777777" w:rsidR="00362140" w:rsidRDefault="00362140" w:rsidP="00C909B4">
      <w:pPr>
        <w:pStyle w:val="05ExerciceTitre"/>
        <w:keepNext w:val="0"/>
        <w:keepLines w:val="0"/>
        <w:suppressAutoHyphens w:val="0"/>
      </w:pPr>
      <w:r>
        <w:t>Exercice 3</w:t>
      </w:r>
      <w:r w:rsidR="00B57869">
        <w:t xml:space="preserve"> </w:t>
      </w:r>
      <w:r w:rsidR="00C909B4" w:rsidRPr="00C909B4">
        <w:t>Mouvements d’eau</w:t>
      </w:r>
    </w:p>
    <w:p w14:paraId="7734C998" w14:textId="77777777" w:rsidR="00CC0FAA" w:rsidRPr="001D2BCA" w:rsidRDefault="00CC0FAA" w:rsidP="001D2BCA">
      <w:pPr>
        <w:pStyle w:val="06Questionenonce"/>
      </w:pPr>
      <w:r>
        <w:t>1.</w:t>
      </w:r>
      <w:r w:rsidR="001D2BCA">
        <w:t xml:space="preserve"> Calculer, à partir des résultats des expériences ci-contre, la quantité d’eau intracellulaire chez une personne de 70</w:t>
      </w:r>
      <w:r w:rsidR="00D7575C">
        <w:t> </w:t>
      </w:r>
      <w:r w:rsidR="001D2BCA">
        <w:t>kg.</w:t>
      </w:r>
    </w:p>
    <w:p w14:paraId="3F26B5B8" w14:textId="2975C920" w:rsidR="00362140" w:rsidRDefault="00B57869" w:rsidP="00D7575C">
      <w:pPr>
        <w:pStyle w:val="TTextecourant"/>
      </w:pPr>
      <w:r>
        <w:t>Eau</w:t>
      </w:r>
      <w:r w:rsidR="00362140">
        <w:t xml:space="preserve"> intracellulaire =</w:t>
      </w:r>
      <w:r w:rsidR="00D7575C">
        <w:t> </w:t>
      </w:r>
      <w:r w:rsidR="00362140">
        <w:t>42</w:t>
      </w:r>
      <w:r w:rsidR="00923A8A">
        <w:t xml:space="preserve"> – </w:t>
      </w:r>
      <w:r w:rsidR="00362140">
        <w:t>15,5</w:t>
      </w:r>
      <w:r w:rsidR="00923A8A">
        <w:t xml:space="preserve"> – </w:t>
      </w:r>
      <w:r w:rsidR="00362140">
        <w:t>3 =</w:t>
      </w:r>
      <w:r w:rsidR="00D7575C">
        <w:t> </w:t>
      </w:r>
      <w:r w:rsidR="00362140">
        <w:t>23,5</w:t>
      </w:r>
      <w:r w:rsidR="0055192F">
        <w:t> l</w:t>
      </w:r>
      <w:r w:rsidR="00362140">
        <w:t>.</w:t>
      </w:r>
    </w:p>
    <w:p w14:paraId="4B162417" w14:textId="77777777" w:rsidR="00CC0FAA" w:rsidRPr="001D2BCA" w:rsidRDefault="00CC0FAA" w:rsidP="001D2BCA">
      <w:pPr>
        <w:pStyle w:val="06Questionenonce"/>
      </w:pPr>
      <w:r>
        <w:t>2.</w:t>
      </w:r>
      <w:r w:rsidR="001D2BCA">
        <w:t xml:space="preserve"> Calculer la valeur du pourcentage d’eau chez une personne en utilisant les données ci-contre.</w:t>
      </w:r>
    </w:p>
    <w:p w14:paraId="2B7374CD" w14:textId="77777777" w:rsidR="00362140" w:rsidRDefault="00362140" w:rsidP="00D7575C">
      <w:pPr>
        <w:pStyle w:val="TTextecourant"/>
      </w:pPr>
      <w:r>
        <w:t>42</w:t>
      </w:r>
      <w:r w:rsidR="00B57869">
        <w:t xml:space="preserve"> </w:t>
      </w:r>
      <w:r w:rsidR="00B57869">
        <w:rPr>
          <w:rFonts w:ascii="Cambria" w:hAnsi="Cambria"/>
        </w:rPr>
        <w:t xml:space="preserve">× </w:t>
      </w:r>
      <w:r>
        <w:t>100/70 =</w:t>
      </w:r>
      <w:r w:rsidR="00D7575C">
        <w:t> </w:t>
      </w:r>
      <w:r>
        <w:t>60</w:t>
      </w:r>
      <w:r w:rsidR="00D7575C">
        <w:t> </w:t>
      </w:r>
      <w:r>
        <w:t>% d’eau.</w:t>
      </w:r>
    </w:p>
    <w:p w14:paraId="0754AC46" w14:textId="77777777" w:rsidR="00CC0FAA" w:rsidRPr="001D2BCA" w:rsidRDefault="00CC0FAA" w:rsidP="001D2BCA">
      <w:pPr>
        <w:pStyle w:val="06Questionenonce"/>
      </w:pPr>
      <w:r>
        <w:t>3.</w:t>
      </w:r>
      <w:r w:rsidR="001D2BCA">
        <w:t xml:space="preserve"> Préciser les conséquences d’une déshydratation importante.</w:t>
      </w:r>
    </w:p>
    <w:p w14:paraId="5661BE10" w14:textId="77777777" w:rsidR="00362140" w:rsidRDefault="00362140" w:rsidP="00D7575C">
      <w:pPr>
        <w:pStyle w:val="TTextecourant"/>
      </w:pPr>
      <w:r>
        <w:t>Une déshydratation importante représente un risque vital.</w:t>
      </w:r>
    </w:p>
    <w:p w14:paraId="7EC55455" w14:textId="77777777" w:rsidR="00CC0FAA" w:rsidRPr="001D2BCA" w:rsidRDefault="00CC0FAA" w:rsidP="001D2BCA">
      <w:pPr>
        <w:pStyle w:val="06Questionenonce"/>
      </w:pPr>
      <w:r>
        <w:t>4.</w:t>
      </w:r>
      <w:r w:rsidR="001D2BCA">
        <w:t xml:space="preserve"> Nommer les différentes origines de l’eau présente dans le tube digestif.</w:t>
      </w:r>
    </w:p>
    <w:p w14:paraId="73414FFD" w14:textId="77777777" w:rsidR="00362140" w:rsidRDefault="00362140" w:rsidP="00D7575C">
      <w:pPr>
        <w:pStyle w:val="TTextecourant"/>
      </w:pPr>
      <w:r>
        <w:t>L’eau du tube digestif a une origine exogène (apportée par les aliments et l’eau ingérés) ou endogène (provient du milieu intérieur et des différentes sécrétions).</w:t>
      </w:r>
    </w:p>
    <w:p w14:paraId="2BA69AB7" w14:textId="77777777" w:rsidR="00CC0FAA" w:rsidRPr="001D2BCA" w:rsidRDefault="00CC0FAA" w:rsidP="001D2BCA">
      <w:pPr>
        <w:pStyle w:val="06Questionenonce"/>
      </w:pPr>
      <w:r>
        <w:t>5.</w:t>
      </w:r>
      <w:r w:rsidR="001D2BCA">
        <w:t xml:space="preserve"> Indiquer le lieu principal de l’absorption de l’eau dans le tube digestif.</w:t>
      </w:r>
    </w:p>
    <w:p w14:paraId="318A376C" w14:textId="77777777" w:rsidR="00362140" w:rsidRDefault="00362140" w:rsidP="00D7575C">
      <w:pPr>
        <w:pStyle w:val="TTextecourant"/>
      </w:pPr>
      <w:r>
        <w:t>L’eau est principalement absorbée au niveau de l’intestin grêle.</w:t>
      </w:r>
    </w:p>
    <w:p w14:paraId="1E7CF504" w14:textId="77777777" w:rsidR="00CC0FAA" w:rsidRPr="001D2BCA" w:rsidRDefault="00CC0FAA" w:rsidP="001D2BCA">
      <w:pPr>
        <w:pStyle w:val="06Questionenonce"/>
      </w:pPr>
      <w:r>
        <w:t>6.</w:t>
      </w:r>
      <w:r w:rsidR="001D2BCA">
        <w:t xml:space="preserve"> Expliquer le sens du passage de l’eau à travers la membrane plasmique des entérocytes.</w:t>
      </w:r>
    </w:p>
    <w:p w14:paraId="3AD05892" w14:textId="77777777" w:rsidR="00362140" w:rsidRDefault="00362140" w:rsidP="00D7575C">
      <w:pPr>
        <w:pStyle w:val="TTextecourant"/>
      </w:pPr>
      <w:r>
        <w:t>L’eau, selon le phénomène d’osmose, va vers le compartiment où les molécules sont les plus concentrées, c’est-à-dire de la lumière du tube digestif vers l’intérieur du corps.</w:t>
      </w:r>
    </w:p>
    <w:p w14:paraId="65E2A2C4" w14:textId="77777777" w:rsidR="001D2BCA" w:rsidRDefault="00CC0FAA" w:rsidP="001D2BCA">
      <w:pPr>
        <w:pStyle w:val="06Questionenonce"/>
      </w:pPr>
      <w:r>
        <w:t>7.</w:t>
      </w:r>
      <w:r w:rsidR="001D2BCA">
        <w:t xml:space="preserve"> Préciser les conséquences d’une absorption insuffisante de l’eau dans le tube digestif.</w:t>
      </w:r>
    </w:p>
    <w:p w14:paraId="428B2F37" w14:textId="77777777" w:rsidR="00362140" w:rsidRDefault="00362140" w:rsidP="00D7575C">
      <w:pPr>
        <w:pStyle w:val="TTextecourant"/>
      </w:pPr>
      <w:r>
        <w:t>Si l’eau reste dans le tube digestif, elle ressortira avec les selles : c’est la diarrhée.</w:t>
      </w:r>
    </w:p>
    <w:p w14:paraId="709F2E0A" w14:textId="77777777" w:rsidR="00362140" w:rsidRDefault="00CC0FAA" w:rsidP="00C909B4">
      <w:pPr>
        <w:pStyle w:val="05ExerciceTitre"/>
        <w:keepNext w:val="0"/>
        <w:keepLines w:val="0"/>
        <w:suppressAutoHyphens w:val="0"/>
      </w:pPr>
      <w:r>
        <w:t>Exercice 4</w:t>
      </w:r>
      <w:r w:rsidR="00C909B4">
        <w:t xml:space="preserve"> </w:t>
      </w:r>
      <w:r w:rsidR="00C909B4" w:rsidRPr="00C909B4">
        <w:t>Suspicion d’alactasie</w:t>
      </w:r>
    </w:p>
    <w:p w14:paraId="25B62667" w14:textId="761F3071" w:rsidR="00CC0FAA" w:rsidRPr="001D2BCA" w:rsidRDefault="00CC0FAA" w:rsidP="00D7575C">
      <w:pPr>
        <w:pStyle w:val="07Titregras"/>
      </w:pPr>
      <w:r>
        <w:t>1.</w:t>
      </w:r>
      <w:r w:rsidR="001D2BCA">
        <w:t xml:space="preserve"> </w:t>
      </w:r>
      <w:r w:rsidR="001D2BCA">
        <w:rPr>
          <w:rFonts w:ascii="PreloSlab-Bold" w:hAnsi="PreloSlab-Bold" w:cs="PreloSlab-Bold"/>
          <w:color w:val="FFFFFF"/>
          <w:sz w:val="18"/>
          <w:szCs w:val="18"/>
        </w:rPr>
        <w:t>1</w:t>
      </w:r>
      <w:r w:rsidR="001D2BCA">
        <w:t xml:space="preserve">Rappeler l’action de la </w:t>
      </w:r>
      <w:r w:rsidR="00923A8A">
        <w:rPr>
          <w:rFonts w:ascii="Calibri" w:hAnsi="Calibri" w:cs="Calibri"/>
        </w:rPr>
        <w:t>β-</w:t>
      </w:r>
      <w:r w:rsidR="001D2BCA">
        <w:t>galactosidase (appelée aussi «</w:t>
      </w:r>
      <w:r w:rsidR="00D7575C">
        <w:t> </w:t>
      </w:r>
      <w:r w:rsidR="001D2BCA">
        <w:t>lactase</w:t>
      </w:r>
      <w:r w:rsidR="00D7575C">
        <w:t> </w:t>
      </w:r>
      <w:r w:rsidR="001D2BCA">
        <w:t>») sur le lactose.</w:t>
      </w:r>
    </w:p>
    <w:p w14:paraId="57EBFF21" w14:textId="77777777" w:rsidR="00362140" w:rsidRDefault="00362140" w:rsidP="00D7575C">
      <w:pPr>
        <w:pStyle w:val="TTextecourant"/>
      </w:pPr>
      <w:r>
        <w:t>La lactase hydrolyse le lactose pour donner un glucose et un saccharose</w:t>
      </w:r>
      <w:r w:rsidR="00B57869">
        <w:t>.</w:t>
      </w:r>
    </w:p>
    <w:p w14:paraId="13A77A4B" w14:textId="259259DC" w:rsidR="00CC0FAA" w:rsidRPr="00D7575C" w:rsidRDefault="00CC0FAA" w:rsidP="00D7575C">
      <w:pPr>
        <w:pStyle w:val="06Questionenonce"/>
      </w:pPr>
      <w:r>
        <w:t>2.</w:t>
      </w:r>
      <w:r w:rsidR="001D2BCA">
        <w:t xml:space="preserve"> Préciser </w:t>
      </w:r>
      <w:r w:rsidR="00D7575C">
        <w:t xml:space="preserve">si les oses sont hydrophiles ou </w:t>
      </w:r>
      <w:r w:rsidR="001D2BCA">
        <w:t>hydrophobes et conclure sur la nécessité</w:t>
      </w:r>
      <w:r w:rsidR="00D7575C">
        <w:t xml:space="preserve"> </w:t>
      </w:r>
      <w:r w:rsidR="001D2BCA">
        <w:t>éventuelle d’un transporteur.</w:t>
      </w:r>
    </w:p>
    <w:p w14:paraId="1B0B58E7" w14:textId="77777777" w:rsidR="00362140" w:rsidRDefault="00362140" w:rsidP="00D7575C">
      <w:pPr>
        <w:pStyle w:val="TTextecourant"/>
      </w:pPr>
      <w:r>
        <w:t>Les oses sont hydrophiles. Un transporteur est nécessaire pour traverser une bicouche lipidique (une membrane biologique).</w:t>
      </w:r>
    </w:p>
    <w:p w14:paraId="1D5E5E9A" w14:textId="77777777" w:rsidR="00CC0FAA" w:rsidRPr="00D7575C" w:rsidRDefault="00CC0FAA" w:rsidP="00D7575C">
      <w:pPr>
        <w:pStyle w:val="06Questionenonce"/>
      </w:pPr>
      <w:r>
        <w:t>3.</w:t>
      </w:r>
      <w:r w:rsidR="001D2BCA">
        <w:t xml:space="preserve"> Nommer </w:t>
      </w:r>
      <w:r w:rsidR="00D7575C">
        <w:t xml:space="preserve">le transporteur du glucose dans </w:t>
      </w:r>
      <w:r w:rsidR="001D2BCA">
        <w:t>l’entérocyte sachant qu’il nécessite une</w:t>
      </w:r>
      <w:r w:rsidR="00D7575C">
        <w:t xml:space="preserve"> </w:t>
      </w:r>
      <w:r w:rsidR="001D2BCA">
        <w:t>source d’énergie.</w:t>
      </w:r>
    </w:p>
    <w:p w14:paraId="485FF4C4" w14:textId="77777777" w:rsidR="00362140" w:rsidRDefault="00362140" w:rsidP="00D7575C">
      <w:pPr>
        <w:pStyle w:val="TTextecourant"/>
      </w:pPr>
      <w:r>
        <w:t>C’est un transporteur qui permet le symport de glucose et de Na</w:t>
      </w:r>
      <w:r w:rsidR="00D7575C">
        <w:t xml:space="preserve"> +</w:t>
      </w:r>
      <w:r>
        <w:t>.</w:t>
      </w:r>
    </w:p>
    <w:p w14:paraId="243DCD3C" w14:textId="77777777" w:rsidR="00CC0FAA" w:rsidRPr="00D7575C" w:rsidRDefault="00CC0FAA" w:rsidP="00D7575C">
      <w:pPr>
        <w:pStyle w:val="06Questionenonce"/>
      </w:pPr>
      <w:r>
        <w:t>4.</w:t>
      </w:r>
      <w:r w:rsidR="001D2BCA">
        <w:t xml:space="preserve"> Préciser le trajet du glucose entre l’</w:t>
      </w:r>
      <w:r w:rsidR="00D7575C">
        <w:t xml:space="preserve">intestin </w:t>
      </w:r>
      <w:r w:rsidR="001D2BCA">
        <w:t>et la circulation générale sanguine.</w:t>
      </w:r>
    </w:p>
    <w:p w14:paraId="71F73BF4" w14:textId="77777777" w:rsidR="00362140" w:rsidRDefault="00362140" w:rsidP="00D7575C">
      <w:pPr>
        <w:pStyle w:val="TTextecourant"/>
      </w:pPr>
      <w:r>
        <w:t>Le glucose entre dans l’entérocyte au niveau apical par transport actif et sort au niveau basal par transport passif. Il traverse l’endothélium d’un vaisseau sanguin et pénètre la circulation sanguine.</w:t>
      </w:r>
    </w:p>
    <w:p w14:paraId="34C3F295" w14:textId="77777777" w:rsidR="00CC0FAA" w:rsidRPr="00D7575C" w:rsidRDefault="00CC0FAA" w:rsidP="00D7575C">
      <w:pPr>
        <w:pStyle w:val="06Questionenonce"/>
      </w:pPr>
      <w:r>
        <w:t>5.</w:t>
      </w:r>
      <w:r w:rsidR="001D2BCA">
        <w:t xml:space="preserve"> Dédui</w:t>
      </w:r>
      <w:r w:rsidR="00D7575C">
        <w:t xml:space="preserve">re des questions précédentes la </w:t>
      </w:r>
      <w:r w:rsidR="001D2BCA">
        <w:t>conséquence de la consommation de</w:t>
      </w:r>
      <w:r w:rsidR="00D7575C">
        <w:t xml:space="preserve"> </w:t>
      </w:r>
      <w:r w:rsidR="001D2BCA">
        <w:t>produits laitiers sur la glycémie.</w:t>
      </w:r>
    </w:p>
    <w:p w14:paraId="5C3E0A2E" w14:textId="77777777" w:rsidR="00362140" w:rsidRDefault="00362140" w:rsidP="00D7575C">
      <w:pPr>
        <w:pStyle w:val="TTextecourant"/>
      </w:pPr>
      <w:r>
        <w:t>La consommation de produits laitiers entraîne une augmentation de la glycémie. Le glucose qui entre dans le sang provient du lactose ingéré.</w:t>
      </w:r>
    </w:p>
    <w:p w14:paraId="53196E90" w14:textId="77777777" w:rsidR="00CC0FAA" w:rsidRPr="00D7575C" w:rsidRDefault="00CC0FAA" w:rsidP="00D7575C">
      <w:pPr>
        <w:pStyle w:val="06Questionenonce"/>
      </w:pPr>
      <w:r>
        <w:t>6.</w:t>
      </w:r>
      <w:r w:rsidR="001D2BCA">
        <w:t xml:space="preserve"> Interpréter les</w:t>
      </w:r>
      <w:r w:rsidR="00D7575C">
        <w:t xml:space="preserve"> résultats du test de tolérance </w:t>
      </w:r>
      <w:r w:rsidR="001D2BCA">
        <w:t>au lactose demandé par le médecin.</w:t>
      </w:r>
    </w:p>
    <w:p w14:paraId="11B35AB7" w14:textId="59B139A5" w:rsidR="00093193" w:rsidRDefault="00362140" w:rsidP="00D7575C">
      <w:pPr>
        <w:pStyle w:val="TTextecourant"/>
      </w:pPr>
      <w:r>
        <w:t>Le test de tolérance au lactose est normal. Le lactose ingéré est hydrolysé et le glucose produit entre dans le sang et entraîne une hyperglycémie passagère. Par la suite</w:t>
      </w:r>
      <w:r w:rsidR="00B57869">
        <w:t>,</w:t>
      </w:r>
      <w:r>
        <w:t xml:space="preserve"> une glycémie normale est de nouveau observée.</w:t>
      </w:r>
    </w:p>
    <w:p w14:paraId="7EFD5537" w14:textId="77777777" w:rsidR="00093193" w:rsidRDefault="00093193">
      <w:pPr>
        <w:spacing w:after="200" w:line="23" w:lineRule="auto"/>
        <w:rPr>
          <w:rFonts w:ascii="GuidePedagoTimes" w:hAnsi="GuidePedagoTimes" w:cs="GuidePedagoTimes"/>
          <w:color w:val="000000"/>
          <w:sz w:val="22"/>
          <w:szCs w:val="22"/>
        </w:rPr>
      </w:pPr>
      <w:r>
        <w:br w:type="page"/>
      </w:r>
    </w:p>
    <w:p w14:paraId="28ABCE23" w14:textId="77777777" w:rsidR="00362140" w:rsidRDefault="00CC0FAA" w:rsidP="00C909B4">
      <w:pPr>
        <w:pStyle w:val="05ExerciceTitre"/>
        <w:keepNext w:val="0"/>
        <w:keepLines w:val="0"/>
        <w:suppressAutoHyphens w:val="0"/>
      </w:pPr>
      <w:r>
        <w:lastRenderedPageBreak/>
        <w:t>Exercice 5</w:t>
      </w:r>
      <w:r w:rsidR="00C909B4">
        <w:t xml:space="preserve"> </w:t>
      </w:r>
      <w:r w:rsidR="00C909B4" w:rsidRPr="00C909B4">
        <w:t>Étude d’une cellule intestinale</w:t>
      </w:r>
    </w:p>
    <w:p w14:paraId="620FDC45" w14:textId="77777777" w:rsidR="00CC0FAA" w:rsidRPr="00D7575C" w:rsidRDefault="00CC0FAA" w:rsidP="00D7575C">
      <w:pPr>
        <w:pStyle w:val="06Questionenonce"/>
      </w:pPr>
      <w:r>
        <w:t>1.</w:t>
      </w:r>
      <w:r w:rsidR="001D2BCA">
        <w:t xml:space="preserve"> Nommer la cellule intes</w:t>
      </w:r>
      <w:r w:rsidR="00D7575C">
        <w:t xml:space="preserve">tinale présentée en justifiant </w:t>
      </w:r>
      <w:r w:rsidR="001D2BCA">
        <w:t>votre réponse.</w:t>
      </w:r>
    </w:p>
    <w:p w14:paraId="15822ED1" w14:textId="77777777" w:rsidR="00362140" w:rsidRDefault="00362140" w:rsidP="00D7575C">
      <w:pPr>
        <w:pStyle w:val="TTextecourant"/>
      </w:pPr>
      <w:r>
        <w:t>C’est un entérocyte</w:t>
      </w:r>
      <w:r w:rsidR="00B57869">
        <w:t> :</w:t>
      </w:r>
      <w:r>
        <w:t xml:space="preserve"> nous pouvons voir des microvillosités au pôle apical.</w:t>
      </w:r>
    </w:p>
    <w:p w14:paraId="3E4AC30B" w14:textId="77777777" w:rsidR="00CC0FAA" w:rsidRDefault="00CC0FAA" w:rsidP="00D7575C">
      <w:pPr>
        <w:pStyle w:val="06Questionenonce"/>
      </w:pPr>
      <w:r>
        <w:t>2.</w:t>
      </w:r>
      <w:r w:rsidR="001D2BCA">
        <w:t xml:space="preserve"> Orienter la cellule.</w:t>
      </w:r>
    </w:p>
    <w:p w14:paraId="552962E6" w14:textId="77777777" w:rsidR="00362140" w:rsidRDefault="00362140" w:rsidP="00D7575C">
      <w:pPr>
        <w:pStyle w:val="TTextecourant"/>
      </w:pPr>
      <w:r>
        <w:t>En haut, pôle apical, en bas pôle basal. Sur les côtés pôles basolatéraux.</w:t>
      </w:r>
    </w:p>
    <w:p w14:paraId="2FC3EC98" w14:textId="77777777" w:rsidR="00CC0FAA" w:rsidRPr="00D7575C" w:rsidRDefault="00362140" w:rsidP="00D7575C">
      <w:pPr>
        <w:pStyle w:val="06Questionenonce"/>
      </w:pPr>
      <w:r w:rsidRPr="00D7575C">
        <w:t>3.</w:t>
      </w:r>
      <w:r w:rsidR="001D2BCA" w:rsidRPr="00D7575C">
        <w:t xml:space="preserve"> Légender le schéma.</w:t>
      </w:r>
    </w:p>
    <w:p w14:paraId="0A58514C" w14:textId="77777777" w:rsidR="00362140" w:rsidRDefault="00362140" w:rsidP="00D7575C">
      <w:pPr>
        <w:pStyle w:val="TTextecourant"/>
      </w:pPr>
      <w:r>
        <w:t>1 : microvillosité</w:t>
      </w:r>
      <w:r w:rsidR="00B57869">
        <w:t> ;</w:t>
      </w:r>
      <w:r>
        <w:t xml:space="preserve"> 2. REG</w:t>
      </w:r>
      <w:r w:rsidR="00B57869">
        <w:t> ;</w:t>
      </w:r>
      <w:r>
        <w:t xml:space="preserve"> 3 : mitochondrie</w:t>
      </w:r>
      <w:r w:rsidR="00B57869">
        <w:t> ;</w:t>
      </w:r>
      <w:r>
        <w:t xml:space="preserve"> 4 : RE lisse (ou Golgi)</w:t>
      </w:r>
      <w:r w:rsidR="00B57869">
        <w:t> ;</w:t>
      </w:r>
      <w:r>
        <w:t xml:space="preserve"> 5 : endosome</w:t>
      </w:r>
      <w:r w:rsidR="00B57869">
        <w:t> ;</w:t>
      </w:r>
      <w:r>
        <w:t xml:space="preserve"> 6 : noyau.</w:t>
      </w:r>
    </w:p>
    <w:p w14:paraId="79338E6C" w14:textId="77777777" w:rsidR="00CC0FAA" w:rsidRPr="00D7575C" w:rsidRDefault="00CC0FAA" w:rsidP="00D7575C">
      <w:pPr>
        <w:pStyle w:val="06Questionenonce"/>
      </w:pPr>
      <w:r>
        <w:t>4.</w:t>
      </w:r>
      <w:r w:rsidR="001D2BCA">
        <w:t xml:space="preserve"> </w:t>
      </w:r>
      <w:r w:rsidR="00D7575C">
        <w:t>Justifi</w:t>
      </w:r>
      <w:r w:rsidR="001D2BCA">
        <w:t>er l’importance de l’ultrastructure (ou organite)</w:t>
      </w:r>
      <w:r w:rsidR="00D7575C">
        <w:t xml:space="preserve"> </w:t>
      </w:r>
      <w:r w:rsidR="001D2BCA">
        <w:t>3 par rapport au rôle de la cellule.</w:t>
      </w:r>
    </w:p>
    <w:p w14:paraId="49EBBFD1" w14:textId="77777777" w:rsidR="00362140" w:rsidRDefault="00362140" w:rsidP="00D7575C">
      <w:pPr>
        <w:pStyle w:val="TTextecourant"/>
      </w:pPr>
      <w:r>
        <w:t>La mitochondrie est le lieu de production d’ATP, nécessaire à l’absorption de certains nutriments (dont le glucose).</w:t>
      </w:r>
    </w:p>
    <w:p w14:paraId="742A950E" w14:textId="77777777" w:rsidR="001D2BCA" w:rsidRPr="00D7575C" w:rsidRDefault="001D2BCA" w:rsidP="00D7575C">
      <w:pPr>
        <w:pStyle w:val="06Questionenonce"/>
      </w:pPr>
      <w:r>
        <w:t>5. Citer un autre type de cellule présent dans l’</w:t>
      </w:r>
      <w:r w:rsidR="00D7575C">
        <w:t xml:space="preserve">épithélium </w:t>
      </w:r>
      <w:r>
        <w:t>intestinal.</w:t>
      </w:r>
    </w:p>
    <w:p w14:paraId="20A53C04" w14:textId="77777777" w:rsidR="00362140" w:rsidRDefault="00362140" w:rsidP="00D7575C">
      <w:pPr>
        <w:pStyle w:val="TTextecourant"/>
      </w:pPr>
      <w:r>
        <w:t>Les cellules caliciformes, productrices de mucus.</w:t>
      </w:r>
    </w:p>
    <w:p w14:paraId="7DFC17BA" w14:textId="77777777" w:rsidR="001D2BCA" w:rsidRPr="00D7575C" w:rsidRDefault="001D2BCA" w:rsidP="00D7575C">
      <w:pPr>
        <w:pStyle w:val="06Questionenonce"/>
      </w:pPr>
      <w:r>
        <w:t xml:space="preserve">6. </w:t>
      </w:r>
      <w:r w:rsidR="00D7575C">
        <w:t>Expliquer pourquoi la fi</w:t>
      </w:r>
      <w:r>
        <w:t>broscopie n’</w:t>
      </w:r>
      <w:r w:rsidR="00D7575C">
        <w:t xml:space="preserve">est pas adaptée </w:t>
      </w:r>
      <w:r>
        <w:t>à l’étude de cet organe.</w:t>
      </w:r>
    </w:p>
    <w:p w14:paraId="4B273634" w14:textId="288FF91D" w:rsidR="00362140" w:rsidRPr="008A3BED" w:rsidRDefault="00362140" w:rsidP="00D7575C">
      <w:pPr>
        <w:pStyle w:val="TTextecourant"/>
      </w:pPr>
      <w:r>
        <w:t>L’intestin grêle est en position centrale dans le tube digestif (le duodénum est observé en bout de fibroscopie haute, et iléon en fin de la fibroscopie basse). Les nombreux replis et la nécessité d’une fibre optique très longue f</w:t>
      </w:r>
      <w:r w:rsidR="001D68EC">
        <w:t>on</w:t>
      </w:r>
      <w:r>
        <w:t>t que cet organe est rarement observé par fibroscopie.</w:t>
      </w:r>
    </w:p>
    <w:p w14:paraId="3A5737A4" w14:textId="401EDD31" w:rsidR="00362140" w:rsidRDefault="00362140" w:rsidP="00C909B4">
      <w:pPr>
        <w:pStyle w:val="05ExerciceTitre"/>
        <w:keepNext w:val="0"/>
        <w:keepLines w:val="0"/>
        <w:suppressAutoHyphens w:val="0"/>
      </w:pPr>
      <w:r>
        <w:t>Exercice 6</w:t>
      </w:r>
      <w:r w:rsidR="00D7575C">
        <w:t xml:space="preserve"> </w:t>
      </w:r>
      <w:r w:rsidR="00C909B4" w:rsidRPr="00C909B4">
        <w:t>Terminologie et vocabulaire médical</w:t>
      </w:r>
    </w:p>
    <w:p w14:paraId="3EFE64BF" w14:textId="0590B6F0" w:rsidR="009D53C0" w:rsidRDefault="009D53C0" w:rsidP="00D7575C">
      <w:pPr>
        <w:pStyle w:val="06Questionenonce"/>
      </w:pPr>
      <w:r>
        <w:t>Rattacher cha</w:t>
      </w:r>
      <w:r w:rsidR="00D7575C">
        <w:t>cun des mots suivants à la défi</w:t>
      </w:r>
      <w:r>
        <w:t>nition qui lui correspond, en vous aidant</w:t>
      </w:r>
      <w:r w:rsidR="00D7575C">
        <w:t xml:space="preserve"> du sens des racines et suffi</w:t>
      </w:r>
      <w:r>
        <w:t>xes proposés ci-dessus.</w:t>
      </w:r>
    </w:p>
    <w:p w14:paraId="4C5B905A" w14:textId="23035DFC" w:rsidR="001D68EC" w:rsidRPr="001D68EC" w:rsidRDefault="001D68EC" w:rsidP="001D68EC">
      <w:pPr>
        <w:pStyle w:val="TTextecourant"/>
      </w:pPr>
      <w:r w:rsidRPr="001D68EC">
        <w:rPr>
          <w:b/>
        </w:rPr>
        <w:t>Erratum</w:t>
      </w:r>
      <w:r w:rsidRPr="001D68EC">
        <w:t> : il faut remplacer « plaie d'une muqueuse » par « hémorragie rectale de sang rouge non digéré » pour pouvoir le relier à « rectorragie ».</w:t>
      </w:r>
    </w:p>
    <w:p w14:paraId="5339427F" w14:textId="77777777" w:rsidR="001D68EC" w:rsidRDefault="001D68EC" w:rsidP="001D68EC">
      <w:pPr>
        <w:pStyle w:val="TTextecourant"/>
      </w:pPr>
    </w:p>
    <w:p w14:paraId="2BBC2E40" w14:textId="58D6C706" w:rsidR="001D68EC" w:rsidRDefault="001D68EC" w:rsidP="001D68EC">
      <w:pPr>
        <w:pStyle w:val="TTextecourant"/>
      </w:pPr>
      <w:r>
        <w:rPr>
          <w:noProof/>
        </w:rPr>
        <w:drawing>
          <wp:inline distT="0" distB="0" distL="0" distR="0" wp14:anchorId="429E1E5A" wp14:editId="3FE72F03">
            <wp:extent cx="5761355" cy="23126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0"/>
                    <a:stretch>
                      <a:fillRect/>
                    </a:stretch>
                  </pic:blipFill>
                  <pic:spPr>
                    <a:xfrm>
                      <a:off x="0" y="0"/>
                      <a:ext cx="5761355" cy="2312670"/>
                    </a:xfrm>
                    <a:prstGeom prst="rect">
                      <a:avLst/>
                    </a:prstGeom>
                  </pic:spPr>
                </pic:pic>
              </a:graphicData>
            </a:graphic>
          </wp:inline>
        </w:drawing>
      </w:r>
    </w:p>
    <w:p w14:paraId="5AFCB67B" w14:textId="4C67AC71" w:rsidR="00B85DDD" w:rsidRDefault="00BF47C4" w:rsidP="00BF47C4">
      <w:pPr>
        <w:pStyle w:val="05MissionTitre"/>
      </w:pPr>
      <w:r>
        <w:t>QCM</w:t>
      </w:r>
    </w:p>
    <w:p w14:paraId="404F40D8" w14:textId="3AF2AD79" w:rsidR="000B51ED" w:rsidRDefault="000B51ED" w:rsidP="000B51ED">
      <w:pPr>
        <w:pStyle w:val="06Questionenonce"/>
      </w:pPr>
      <w:r>
        <w:rPr>
          <w:rFonts w:eastAsiaTheme="minorHAnsi"/>
          <w:lang w:eastAsia="en-US"/>
        </w:rPr>
        <w:t>Indiquer la (ou les) proposition(s) juste(s).</w:t>
      </w:r>
    </w:p>
    <w:p w14:paraId="77563F1E" w14:textId="77777777" w:rsidR="00732082" w:rsidRPr="00732082" w:rsidRDefault="00732082" w:rsidP="00732082">
      <w:pPr>
        <w:autoSpaceDE w:val="0"/>
        <w:autoSpaceDN w:val="0"/>
        <w:adjustRightInd w:val="0"/>
        <w:rPr>
          <w:rFonts w:ascii="Solitas-ConReg" w:eastAsiaTheme="minorHAnsi" w:hAnsi="Solitas-ConReg" w:cs="Solitas-ConReg"/>
          <w:color w:val="000094"/>
          <w:sz w:val="23"/>
          <w:szCs w:val="23"/>
          <w:lang w:eastAsia="en-US"/>
        </w:rPr>
      </w:pPr>
      <w:r w:rsidRPr="00732082">
        <w:rPr>
          <w:rFonts w:ascii="HungFont-Regular" w:eastAsiaTheme="minorHAnsi" w:hAnsi="HungFont-Regular" w:cs="HungFont-Regular"/>
          <w:color w:val="FF6900"/>
          <w:sz w:val="23"/>
          <w:szCs w:val="23"/>
          <w:lang w:eastAsia="en-US"/>
        </w:rPr>
        <w:t xml:space="preserve">1 </w:t>
      </w:r>
      <w:r w:rsidRPr="00732082">
        <w:rPr>
          <w:rFonts w:ascii="Solitas-ConReg" w:eastAsiaTheme="minorHAnsi" w:hAnsi="Solitas-ConReg" w:cs="Solitas-ConReg"/>
          <w:color w:val="000094"/>
          <w:sz w:val="23"/>
          <w:szCs w:val="23"/>
          <w:lang w:eastAsia="en-US"/>
        </w:rPr>
        <w:t>Les cellules de l’épithélium de l’intestin grêle sont :</w:t>
      </w:r>
    </w:p>
    <w:p w14:paraId="42C05D9B"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a. </w:t>
      </w:r>
      <w:r w:rsidRPr="00732082">
        <w:rPr>
          <w:rFonts w:ascii="Solitas-ConBoo" w:eastAsiaTheme="minorHAnsi" w:hAnsi="Solitas-ConBoo" w:cs="Solitas-ConBoo"/>
          <w:color w:val="000000"/>
          <w:sz w:val="23"/>
          <w:szCs w:val="23"/>
          <w:lang w:eastAsia="en-US"/>
        </w:rPr>
        <w:t>des hépatocytes</w:t>
      </w:r>
    </w:p>
    <w:p w14:paraId="68D3D8F3"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b. </w:t>
      </w:r>
      <w:r w:rsidRPr="00732082">
        <w:rPr>
          <w:rFonts w:ascii="Solitas-ConBoo" w:eastAsiaTheme="minorHAnsi" w:hAnsi="Solitas-ConBoo" w:cs="Solitas-ConBoo"/>
          <w:color w:val="000000"/>
          <w:sz w:val="23"/>
          <w:szCs w:val="23"/>
          <w:highlight w:val="yellow"/>
          <w:lang w:eastAsia="en-US"/>
        </w:rPr>
        <w:t>des entérocytes</w:t>
      </w:r>
    </w:p>
    <w:p w14:paraId="2236D3B9"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c. </w:t>
      </w:r>
      <w:r w:rsidRPr="00732082">
        <w:rPr>
          <w:rFonts w:ascii="Solitas-ConBoo" w:eastAsiaTheme="minorHAnsi" w:hAnsi="Solitas-ConBoo" w:cs="Solitas-ConBoo"/>
          <w:color w:val="000000"/>
          <w:sz w:val="23"/>
          <w:szCs w:val="23"/>
          <w:lang w:eastAsia="en-US"/>
        </w:rPr>
        <w:t>des vaisseaux sanguins</w:t>
      </w:r>
    </w:p>
    <w:p w14:paraId="2C6513D6"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d. </w:t>
      </w:r>
      <w:r w:rsidRPr="00732082">
        <w:rPr>
          <w:rFonts w:ascii="Solitas-ConBoo" w:eastAsiaTheme="minorHAnsi" w:hAnsi="Solitas-ConBoo" w:cs="Solitas-ConBoo"/>
          <w:color w:val="000000"/>
          <w:sz w:val="23"/>
          <w:szCs w:val="23"/>
          <w:lang w:eastAsia="en-US"/>
        </w:rPr>
        <w:t>des neurones</w:t>
      </w:r>
    </w:p>
    <w:p w14:paraId="3CB6B1FD" w14:textId="77777777" w:rsidR="00732082" w:rsidRPr="00732082" w:rsidRDefault="00732082" w:rsidP="00732082">
      <w:pPr>
        <w:autoSpaceDE w:val="0"/>
        <w:autoSpaceDN w:val="0"/>
        <w:adjustRightInd w:val="0"/>
        <w:rPr>
          <w:rFonts w:ascii="Solitas-ConReg" w:eastAsiaTheme="minorHAnsi" w:hAnsi="Solitas-ConReg" w:cs="Solitas-ConReg"/>
          <w:color w:val="000094"/>
          <w:sz w:val="23"/>
          <w:szCs w:val="23"/>
          <w:lang w:eastAsia="en-US"/>
        </w:rPr>
      </w:pPr>
      <w:r w:rsidRPr="00732082">
        <w:rPr>
          <w:rFonts w:ascii="HungFont-Regular" w:eastAsiaTheme="minorHAnsi" w:hAnsi="HungFont-Regular" w:cs="HungFont-Regular"/>
          <w:color w:val="FF6900"/>
          <w:sz w:val="23"/>
          <w:szCs w:val="23"/>
          <w:lang w:eastAsia="en-US"/>
        </w:rPr>
        <w:t xml:space="preserve">2 </w:t>
      </w:r>
      <w:r w:rsidRPr="00732082">
        <w:rPr>
          <w:rFonts w:ascii="Solitas-ConReg" w:eastAsiaTheme="minorHAnsi" w:hAnsi="Solitas-ConReg" w:cs="Solitas-ConReg"/>
          <w:color w:val="000094"/>
          <w:sz w:val="23"/>
          <w:szCs w:val="23"/>
          <w:lang w:eastAsia="en-US"/>
        </w:rPr>
        <w:t>Les villosités intestinales sont :</w:t>
      </w:r>
    </w:p>
    <w:p w14:paraId="47D7080F"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a. </w:t>
      </w:r>
      <w:r w:rsidRPr="00732082">
        <w:rPr>
          <w:rFonts w:ascii="Solitas-ConBoo" w:eastAsiaTheme="minorHAnsi" w:hAnsi="Solitas-ConBoo" w:cs="Solitas-ConBoo"/>
          <w:color w:val="000000"/>
          <w:sz w:val="23"/>
          <w:szCs w:val="23"/>
          <w:highlight w:val="yellow"/>
          <w:lang w:eastAsia="en-US"/>
        </w:rPr>
        <w:t>des replis de valvules</w:t>
      </w:r>
    </w:p>
    <w:p w14:paraId="1F5CF66D"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b. </w:t>
      </w:r>
      <w:r w:rsidRPr="00732082">
        <w:rPr>
          <w:rFonts w:ascii="Solitas-ConBoo" w:eastAsiaTheme="minorHAnsi" w:hAnsi="Solitas-ConBoo" w:cs="Solitas-ConBoo"/>
          <w:color w:val="000000"/>
          <w:sz w:val="23"/>
          <w:szCs w:val="23"/>
          <w:lang w:eastAsia="en-US"/>
        </w:rPr>
        <w:t>des ensembles de valvules</w:t>
      </w:r>
    </w:p>
    <w:p w14:paraId="4C66784E"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lastRenderedPageBreak/>
        <w:t xml:space="preserve">c. </w:t>
      </w:r>
      <w:r w:rsidRPr="00732082">
        <w:rPr>
          <w:rFonts w:ascii="Solitas-ConBoo" w:eastAsiaTheme="minorHAnsi" w:hAnsi="Solitas-ConBoo" w:cs="Solitas-ConBoo"/>
          <w:color w:val="000000"/>
          <w:sz w:val="23"/>
          <w:szCs w:val="23"/>
          <w:lang w:eastAsia="en-US"/>
        </w:rPr>
        <w:t>des expansions de la membrane plasmique</w:t>
      </w:r>
    </w:p>
    <w:p w14:paraId="122237D5" w14:textId="77777777" w:rsidR="00732082" w:rsidRPr="00732082" w:rsidRDefault="00732082" w:rsidP="00732082">
      <w:pPr>
        <w:autoSpaceDE w:val="0"/>
        <w:autoSpaceDN w:val="0"/>
        <w:adjustRightInd w:val="0"/>
        <w:rPr>
          <w:rFonts w:ascii="Solitas-ConReg" w:eastAsiaTheme="minorHAnsi" w:hAnsi="Solitas-ConReg" w:cs="Solitas-ConReg"/>
          <w:color w:val="000094"/>
          <w:sz w:val="23"/>
          <w:szCs w:val="23"/>
          <w:lang w:eastAsia="en-US"/>
        </w:rPr>
      </w:pPr>
      <w:r w:rsidRPr="00732082">
        <w:rPr>
          <w:rFonts w:ascii="HungFont-Regular" w:eastAsiaTheme="minorHAnsi" w:hAnsi="HungFont-Regular" w:cs="HungFont-Regular"/>
          <w:color w:val="FF6900"/>
          <w:sz w:val="23"/>
          <w:szCs w:val="23"/>
          <w:lang w:eastAsia="en-US"/>
        </w:rPr>
        <w:t xml:space="preserve">3 </w:t>
      </w:r>
      <w:r w:rsidRPr="00732082">
        <w:rPr>
          <w:rFonts w:ascii="Solitas-ConReg" w:eastAsiaTheme="minorHAnsi" w:hAnsi="Solitas-ConReg" w:cs="Solitas-ConReg"/>
          <w:color w:val="000094"/>
          <w:sz w:val="23"/>
          <w:szCs w:val="23"/>
          <w:lang w:eastAsia="en-US"/>
        </w:rPr>
        <w:t>Les villosités intestinales contiennent :</w:t>
      </w:r>
    </w:p>
    <w:p w14:paraId="45C4A4A5"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a. </w:t>
      </w:r>
      <w:r w:rsidRPr="00732082">
        <w:rPr>
          <w:rFonts w:ascii="Solitas-ConBoo" w:eastAsiaTheme="minorHAnsi" w:hAnsi="Solitas-ConBoo" w:cs="Solitas-ConBoo"/>
          <w:color w:val="000000"/>
          <w:sz w:val="23"/>
          <w:szCs w:val="23"/>
          <w:highlight w:val="yellow"/>
          <w:lang w:eastAsia="en-US"/>
        </w:rPr>
        <w:t>des chylifères</w:t>
      </w:r>
    </w:p>
    <w:p w14:paraId="23ED259C"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b. </w:t>
      </w:r>
      <w:r w:rsidRPr="00732082">
        <w:rPr>
          <w:rFonts w:ascii="Solitas-ConBoo" w:eastAsiaTheme="minorHAnsi" w:hAnsi="Solitas-ConBoo" w:cs="Solitas-ConBoo"/>
          <w:color w:val="000000"/>
          <w:sz w:val="23"/>
          <w:szCs w:val="23"/>
          <w:highlight w:val="yellow"/>
          <w:lang w:eastAsia="en-US"/>
        </w:rPr>
        <w:t>des capillaires</w:t>
      </w:r>
    </w:p>
    <w:p w14:paraId="5BC89914" w14:textId="77777777" w:rsidR="00732082" w:rsidRPr="00732082" w:rsidRDefault="00732082" w:rsidP="00093193">
      <w:pPr>
        <w:spacing w:line="276" w:lineRule="auto"/>
        <w:rPr>
          <w:rFonts w:asciiTheme="minorHAnsi" w:eastAsiaTheme="minorHAnsi" w:hAnsiTheme="minorHAnsi" w:cstheme="minorBidi"/>
          <w:sz w:val="22"/>
          <w:szCs w:val="22"/>
          <w:lang w:eastAsia="en-US"/>
        </w:rPr>
      </w:pPr>
      <w:r w:rsidRPr="00732082">
        <w:rPr>
          <w:rFonts w:ascii="Solitas-ConMed" w:eastAsiaTheme="minorHAnsi" w:hAnsi="Solitas-ConMed" w:cs="Solitas-ConMed"/>
          <w:color w:val="FF6900"/>
          <w:sz w:val="23"/>
          <w:szCs w:val="23"/>
          <w:lang w:eastAsia="en-US"/>
        </w:rPr>
        <w:t xml:space="preserve">c. </w:t>
      </w:r>
      <w:r w:rsidRPr="00732082">
        <w:rPr>
          <w:rFonts w:ascii="Solitas-ConBoo" w:eastAsiaTheme="minorHAnsi" w:hAnsi="Solitas-ConBoo" w:cs="Solitas-ConBoo"/>
          <w:color w:val="000000"/>
          <w:sz w:val="23"/>
          <w:szCs w:val="23"/>
          <w:lang w:eastAsia="en-US"/>
        </w:rPr>
        <w:t>des bronchioles</w:t>
      </w:r>
    </w:p>
    <w:p w14:paraId="1B162CA1" w14:textId="77777777" w:rsidR="00732082" w:rsidRPr="00732082" w:rsidRDefault="00732082" w:rsidP="00093193">
      <w:pPr>
        <w:autoSpaceDE w:val="0"/>
        <w:autoSpaceDN w:val="0"/>
        <w:adjustRightInd w:val="0"/>
        <w:rPr>
          <w:rFonts w:ascii="Solitas-ConReg" w:eastAsiaTheme="minorHAnsi" w:hAnsi="Solitas-ConReg" w:cs="Solitas-ConReg"/>
          <w:color w:val="000094"/>
          <w:sz w:val="23"/>
          <w:szCs w:val="23"/>
          <w:lang w:eastAsia="en-US"/>
        </w:rPr>
      </w:pPr>
      <w:r w:rsidRPr="00732082">
        <w:rPr>
          <w:rFonts w:ascii="HungFont-Regular" w:eastAsiaTheme="minorHAnsi" w:hAnsi="HungFont-Regular" w:cs="HungFont-Regular"/>
          <w:color w:val="FF6900"/>
          <w:sz w:val="23"/>
          <w:szCs w:val="23"/>
          <w:lang w:eastAsia="en-US"/>
        </w:rPr>
        <w:t xml:space="preserve">4 </w:t>
      </w:r>
      <w:r w:rsidRPr="00732082">
        <w:rPr>
          <w:rFonts w:ascii="Solitas-ConReg" w:eastAsiaTheme="minorHAnsi" w:hAnsi="Solitas-ConReg" w:cs="Solitas-ConReg"/>
          <w:color w:val="000094"/>
          <w:sz w:val="23"/>
          <w:szCs w:val="23"/>
          <w:lang w:eastAsia="en-US"/>
        </w:rPr>
        <w:t>À propos du cliché ci-dessus :</w:t>
      </w:r>
    </w:p>
    <w:p w14:paraId="3CBADB47"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a. </w:t>
      </w:r>
      <w:r w:rsidRPr="00732082">
        <w:rPr>
          <w:rFonts w:ascii="Solitas-ConBoo" w:eastAsiaTheme="minorHAnsi" w:hAnsi="Solitas-ConBoo" w:cs="Solitas-ConBoo"/>
          <w:color w:val="000000"/>
          <w:sz w:val="23"/>
          <w:szCs w:val="23"/>
          <w:lang w:eastAsia="en-US"/>
        </w:rPr>
        <w:t>1 est une villosité</w:t>
      </w:r>
    </w:p>
    <w:p w14:paraId="677B14DF"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b. </w:t>
      </w:r>
      <w:r w:rsidRPr="00732082">
        <w:rPr>
          <w:rFonts w:ascii="Solitas-ConBoo" w:eastAsiaTheme="minorHAnsi" w:hAnsi="Solitas-ConBoo" w:cs="Solitas-ConBoo"/>
          <w:color w:val="000000"/>
          <w:sz w:val="23"/>
          <w:szCs w:val="23"/>
          <w:lang w:eastAsia="en-US"/>
        </w:rPr>
        <w:t>1 est du côté basal de la cellule</w:t>
      </w:r>
    </w:p>
    <w:p w14:paraId="77DCA64B"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c. </w:t>
      </w:r>
      <w:r w:rsidRPr="00732082">
        <w:rPr>
          <w:rFonts w:ascii="Solitas-ConBoo" w:eastAsiaTheme="minorHAnsi" w:hAnsi="Solitas-ConBoo" w:cs="Solitas-ConBoo"/>
          <w:color w:val="000000"/>
          <w:sz w:val="23"/>
          <w:szCs w:val="23"/>
          <w:lang w:eastAsia="en-US"/>
        </w:rPr>
        <w:t>2 est un ribosome</w:t>
      </w:r>
    </w:p>
    <w:p w14:paraId="66E4920A" w14:textId="77777777" w:rsidR="00732082" w:rsidRPr="00732082" w:rsidRDefault="00732082" w:rsidP="00093193">
      <w:pPr>
        <w:spacing w:line="276" w:lineRule="auto"/>
        <w:rPr>
          <w:rFonts w:asciiTheme="minorHAnsi" w:eastAsiaTheme="minorHAnsi" w:hAnsiTheme="minorHAnsi" w:cstheme="minorBidi"/>
          <w:sz w:val="22"/>
          <w:szCs w:val="22"/>
          <w:lang w:eastAsia="en-US"/>
        </w:rPr>
      </w:pPr>
      <w:r w:rsidRPr="00732082">
        <w:rPr>
          <w:rFonts w:ascii="Solitas-ConMed" w:eastAsiaTheme="minorHAnsi" w:hAnsi="Solitas-ConMed" w:cs="Solitas-ConMed"/>
          <w:color w:val="FF6900"/>
          <w:sz w:val="23"/>
          <w:szCs w:val="23"/>
          <w:lang w:eastAsia="en-US"/>
        </w:rPr>
        <w:t xml:space="preserve">d. </w:t>
      </w:r>
      <w:r w:rsidRPr="00732082">
        <w:rPr>
          <w:rFonts w:ascii="Solitas-ConBoo" w:eastAsiaTheme="minorHAnsi" w:hAnsi="Solitas-ConBoo" w:cs="Solitas-ConBoo"/>
          <w:color w:val="000000"/>
          <w:sz w:val="23"/>
          <w:szCs w:val="23"/>
          <w:highlight w:val="yellow"/>
          <w:lang w:eastAsia="en-US"/>
        </w:rPr>
        <w:t>1 est au contact de la lumière</w:t>
      </w:r>
    </w:p>
    <w:p w14:paraId="69C38124" w14:textId="77777777" w:rsidR="00732082" w:rsidRPr="00732082" w:rsidRDefault="00732082" w:rsidP="00093193">
      <w:pPr>
        <w:autoSpaceDE w:val="0"/>
        <w:autoSpaceDN w:val="0"/>
        <w:adjustRightInd w:val="0"/>
        <w:rPr>
          <w:rFonts w:ascii="Solitas-ConReg" w:eastAsiaTheme="minorHAnsi" w:hAnsi="Solitas-ConReg" w:cs="Solitas-ConReg"/>
          <w:color w:val="000094"/>
          <w:sz w:val="23"/>
          <w:szCs w:val="23"/>
          <w:lang w:eastAsia="en-US"/>
        </w:rPr>
      </w:pPr>
      <w:r w:rsidRPr="00732082">
        <w:rPr>
          <w:rFonts w:ascii="HungFont-Regular" w:eastAsiaTheme="minorHAnsi" w:hAnsi="HungFont-Regular" w:cs="HungFont-Regular"/>
          <w:color w:val="FF6900"/>
          <w:sz w:val="23"/>
          <w:szCs w:val="23"/>
          <w:lang w:eastAsia="en-US"/>
        </w:rPr>
        <w:t xml:space="preserve">5 </w:t>
      </w:r>
      <w:r w:rsidRPr="00732082">
        <w:rPr>
          <w:rFonts w:ascii="Solitas-ConReg" w:eastAsiaTheme="minorHAnsi" w:hAnsi="Solitas-ConReg" w:cs="Solitas-ConReg"/>
          <w:color w:val="000094"/>
          <w:sz w:val="23"/>
          <w:szCs w:val="23"/>
          <w:lang w:eastAsia="en-US"/>
        </w:rPr>
        <w:t>Les valvules, villosités et microvillosités permettent :</w:t>
      </w:r>
    </w:p>
    <w:p w14:paraId="0C3E376B"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a. </w:t>
      </w:r>
      <w:r w:rsidRPr="00732082">
        <w:rPr>
          <w:rFonts w:ascii="Solitas-ConBoo" w:eastAsiaTheme="minorHAnsi" w:hAnsi="Solitas-ConBoo" w:cs="Solitas-ConBoo"/>
          <w:color w:val="000000"/>
          <w:sz w:val="23"/>
          <w:szCs w:val="23"/>
          <w:highlight w:val="yellow"/>
          <w:lang w:eastAsia="en-US"/>
        </w:rPr>
        <w:t>d’accroître la surface d’échange</w:t>
      </w:r>
    </w:p>
    <w:p w14:paraId="49E0C894"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b. </w:t>
      </w:r>
      <w:r w:rsidRPr="00732082">
        <w:rPr>
          <w:rFonts w:ascii="Solitas-ConBoo" w:eastAsiaTheme="minorHAnsi" w:hAnsi="Solitas-ConBoo" w:cs="Solitas-ConBoo"/>
          <w:color w:val="000000"/>
          <w:sz w:val="23"/>
          <w:szCs w:val="23"/>
          <w:lang w:eastAsia="en-US"/>
        </w:rPr>
        <w:t>d’inhiber le microbiote</w:t>
      </w:r>
    </w:p>
    <w:p w14:paraId="4F7BC542" w14:textId="77777777" w:rsidR="00732082" w:rsidRPr="00732082" w:rsidRDefault="00732082" w:rsidP="00093193">
      <w:pPr>
        <w:spacing w:line="276" w:lineRule="auto"/>
        <w:rPr>
          <w:rFonts w:asciiTheme="minorHAnsi" w:eastAsiaTheme="minorHAnsi" w:hAnsiTheme="minorHAnsi" w:cstheme="minorBidi"/>
          <w:sz w:val="22"/>
          <w:szCs w:val="22"/>
          <w:lang w:eastAsia="en-US"/>
        </w:rPr>
      </w:pPr>
      <w:r w:rsidRPr="00732082">
        <w:rPr>
          <w:rFonts w:ascii="Solitas-ConMed" w:eastAsiaTheme="minorHAnsi" w:hAnsi="Solitas-ConMed" w:cs="Solitas-ConMed"/>
          <w:color w:val="FF6900"/>
          <w:sz w:val="23"/>
          <w:szCs w:val="23"/>
          <w:lang w:eastAsia="en-US"/>
        </w:rPr>
        <w:t xml:space="preserve">c. </w:t>
      </w:r>
      <w:r w:rsidRPr="00732082">
        <w:rPr>
          <w:rFonts w:ascii="Solitas-ConBoo" w:eastAsiaTheme="minorHAnsi" w:hAnsi="Solitas-ConBoo" w:cs="Solitas-ConBoo"/>
          <w:color w:val="000000"/>
          <w:sz w:val="23"/>
          <w:szCs w:val="23"/>
          <w:lang w:eastAsia="en-US"/>
        </w:rPr>
        <w:t>de contracter la paroi intestinale</w:t>
      </w:r>
    </w:p>
    <w:p w14:paraId="17B966FA" w14:textId="77777777" w:rsidR="00732082" w:rsidRPr="00732082" w:rsidRDefault="00732082" w:rsidP="00093193">
      <w:pPr>
        <w:autoSpaceDE w:val="0"/>
        <w:autoSpaceDN w:val="0"/>
        <w:adjustRightInd w:val="0"/>
        <w:rPr>
          <w:rFonts w:ascii="Solitas-ConReg" w:eastAsiaTheme="minorHAnsi" w:hAnsi="Solitas-ConReg" w:cs="Solitas-ConReg"/>
          <w:color w:val="000094"/>
          <w:sz w:val="23"/>
          <w:szCs w:val="23"/>
          <w:lang w:eastAsia="en-US"/>
        </w:rPr>
      </w:pPr>
      <w:r w:rsidRPr="00732082">
        <w:rPr>
          <w:rFonts w:ascii="HungFont-Regular" w:eastAsiaTheme="minorHAnsi" w:hAnsi="HungFont-Regular" w:cs="HungFont-Regular"/>
          <w:color w:val="FF6900"/>
          <w:sz w:val="23"/>
          <w:szCs w:val="23"/>
          <w:lang w:eastAsia="en-US"/>
        </w:rPr>
        <w:t xml:space="preserve">6 </w:t>
      </w:r>
      <w:r w:rsidRPr="00732082">
        <w:rPr>
          <w:rFonts w:ascii="Solitas-ConReg" w:eastAsiaTheme="minorHAnsi" w:hAnsi="Solitas-ConReg" w:cs="Solitas-ConReg"/>
          <w:color w:val="000094"/>
          <w:sz w:val="23"/>
          <w:szCs w:val="23"/>
          <w:lang w:eastAsia="en-US"/>
        </w:rPr>
        <w:t>Dans le cas ci-dessus, l’eau :</w:t>
      </w:r>
    </w:p>
    <w:p w14:paraId="3EB04C3A"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a. </w:t>
      </w:r>
      <w:r w:rsidRPr="00732082">
        <w:rPr>
          <w:rFonts w:ascii="Solitas-ConBoo" w:eastAsiaTheme="minorHAnsi" w:hAnsi="Solitas-ConBoo" w:cs="Solitas-ConBoo"/>
          <w:color w:val="000000"/>
          <w:sz w:val="23"/>
          <w:szCs w:val="23"/>
          <w:lang w:eastAsia="en-US"/>
        </w:rPr>
        <w:t>passe du compartiment vert au compartiment bleu</w:t>
      </w:r>
    </w:p>
    <w:p w14:paraId="0C692AE2"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b. </w:t>
      </w:r>
      <w:r w:rsidRPr="00732082">
        <w:rPr>
          <w:rFonts w:ascii="Solitas-ConBoo" w:eastAsiaTheme="minorHAnsi" w:hAnsi="Solitas-ConBoo" w:cs="Solitas-ConBoo"/>
          <w:color w:val="000000"/>
          <w:sz w:val="23"/>
          <w:szCs w:val="23"/>
          <w:highlight w:val="yellow"/>
          <w:lang w:eastAsia="en-US"/>
        </w:rPr>
        <w:t>passe du compartiment bleu au compartiment vert</w:t>
      </w:r>
    </w:p>
    <w:p w14:paraId="399EE376"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c. </w:t>
      </w:r>
      <w:r w:rsidRPr="00732082">
        <w:rPr>
          <w:rFonts w:ascii="Solitas-ConBoo" w:eastAsiaTheme="minorHAnsi" w:hAnsi="Solitas-ConBoo" w:cs="Solitas-ConBoo"/>
          <w:color w:val="000000"/>
          <w:sz w:val="23"/>
          <w:szCs w:val="23"/>
          <w:lang w:eastAsia="en-US"/>
        </w:rPr>
        <w:t>reste immobile</w:t>
      </w:r>
    </w:p>
    <w:p w14:paraId="1F890B06" w14:textId="77777777" w:rsidR="00732082" w:rsidRPr="00732082" w:rsidRDefault="00732082" w:rsidP="00732082">
      <w:pPr>
        <w:autoSpaceDE w:val="0"/>
        <w:autoSpaceDN w:val="0"/>
        <w:adjustRightInd w:val="0"/>
        <w:rPr>
          <w:rFonts w:ascii="Solitas-ConReg" w:eastAsiaTheme="minorHAnsi" w:hAnsi="Solitas-ConReg" w:cs="Solitas-ConReg"/>
          <w:color w:val="000094"/>
          <w:sz w:val="23"/>
          <w:szCs w:val="23"/>
          <w:lang w:eastAsia="en-US"/>
        </w:rPr>
      </w:pPr>
      <w:r w:rsidRPr="00732082">
        <w:rPr>
          <w:rFonts w:ascii="HungFont-Regular" w:eastAsiaTheme="minorHAnsi" w:hAnsi="HungFont-Regular" w:cs="HungFont-Regular"/>
          <w:color w:val="FF6900"/>
          <w:sz w:val="23"/>
          <w:szCs w:val="23"/>
          <w:lang w:eastAsia="en-US"/>
        </w:rPr>
        <w:t xml:space="preserve">7 </w:t>
      </w:r>
      <w:r w:rsidRPr="00732082">
        <w:rPr>
          <w:rFonts w:ascii="Solitas-ConReg" w:eastAsiaTheme="minorHAnsi" w:hAnsi="Solitas-ConReg" w:cs="Solitas-ConReg"/>
          <w:color w:val="000094"/>
          <w:sz w:val="23"/>
          <w:szCs w:val="23"/>
          <w:lang w:eastAsia="en-US"/>
        </w:rPr>
        <w:t>L’absorption des acides gras s’effectue :</w:t>
      </w:r>
    </w:p>
    <w:p w14:paraId="6778A0E5"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a. </w:t>
      </w:r>
      <w:r w:rsidRPr="00732082">
        <w:rPr>
          <w:rFonts w:ascii="Solitas-ConBoo" w:eastAsiaTheme="minorHAnsi" w:hAnsi="Solitas-ConBoo" w:cs="Solitas-ConBoo"/>
          <w:color w:val="000000"/>
          <w:sz w:val="23"/>
          <w:szCs w:val="23"/>
          <w:highlight w:val="yellow"/>
          <w:lang w:eastAsia="en-US"/>
        </w:rPr>
        <w:t>par diffusion</w:t>
      </w:r>
    </w:p>
    <w:p w14:paraId="19C1687B"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b. </w:t>
      </w:r>
      <w:r w:rsidRPr="00732082">
        <w:rPr>
          <w:rFonts w:ascii="Solitas-ConBoo" w:eastAsiaTheme="minorHAnsi" w:hAnsi="Solitas-ConBoo" w:cs="Solitas-ConBoo"/>
          <w:color w:val="000000"/>
          <w:sz w:val="23"/>
          <w:szCs w:val="23"/>
          <w:lang w:eastAsia="en-US"/>
        </w:rPr>
        <w:t>par transport actif</w:t>
      </w:r>
    </w:p>
    <w:p w14:paraId="2BD1F0C1"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c. </w:t>
      </w:r>
      <w:r w:rsidRPr="00732082">
        <w:rPr>
          <w:rFonts w:ascii="Solitas-ConBoo" w:eastAsiaTheme="minorHAnsi" w:hAnsi="Solitas-ConBoo" w:cs="Solitas-ConBoo"/>
          <w:color w:val="000000"/>
          <w:sz w:val="23"/>
          <w:szCs w:val="23"/>
          <w:lang w:eastAsia="en-US"/>
        </w:rPr>
        <w:t>à travers un canal</w:t>
      </w:r>
    </w:p>
    <w:p w14:paraId="300DED30" w14:textId="77777777" w:rsidR="00732082" w:rsidRPr="00732082" w:rsidRDefault="00732082" w:rsidP="00093193">
      <w:pPr>
        <w:spacing w:line="276" w:lineRule="auto"/>
        <w:rPr>
          <w:rFonts w:asciiTheme="minorHAnsi" w:eastAsiaTheme="minorHAnsi" w:hAnsiTheme="minorHAnsi" w:cstheme="minorBidi"/>
          <w:sz w:val="22"/>
          <w:szCs w:val="22"/>
          <w:lang w:eastAsia="en-US"/>
        </w:rPr>
      </w:pPr>
      <w:r w:rsidRPr="00732082">
        <w:rPr>
          <w:rFonts w:ascii="Solitas-ConMed" w:eastAsiaTheme="minorHAnsi" w:hAnsi="Solitas-ConMed" w:cs="Solitas-ConMed"/>
          <w:color w:val="FF6900"/>
          <w:sz w:val="23"/>
          <w:szCs w:val="23"/>
          <w:lang w:eastAsia="en-US"/>
        </w:rPr>
        <w:t xml:space="preserve">d. </w:t>
      </w:r>
      <w:r w:rsidRPr="00732082">
        <w:rPr>
          <w:rFonts w:ascii="Solitas-ConBoo" w:eastAsiaTheme="minorHAnsi" w:hAnsi="Solitas-ConBoo" w:cs="Solitas-ConBoo"/>
          <w:color w:val="000000"/>
          <w:sz w:val="23"/>
          <w:szCs w:val="23"/>
          <w:lang w:eastAsia="en-US"/>
        </w:rPr>
        <w:t>grâce à l’eau</w:t>
      </w:r>
    </w:p>
    <w:p w14:paraId="21511272" w14:textId="77777777" w:rsidR="00732082" w:rsidRPr="00732082" w:rsidRDefault="00732082" w:rsidP="00093193">
      <w:pPr>
        <w:autoSpaceDE w:val="0"/>
        <w:autoSpaceDN w:val="0"/>
        <w:adjustRightInd w:val="0"/>
        <w:rPr>
          <w:rFonts w:ascii="Solitas-ConReg" w:eastAsiaTheme="minorHAnsi" w:hAnsi="Solitas-ConReg" w:cs="Solitas-ConReg"/>
          <w:color w:val="000094"/>
          <w:sz w:val="23"/>
          <w:szCs w:val="23"/>
          <w:lang w:eastAsia="en-US"/>
        </w:rPr>
      </w:pPr>
      <w:r w:rsidRPr="00732082">
        <w:rPr>
          <w:rFonts w:ascii="HungFont-Regular" w:eastAsiaTheme="minorHAnsi" w:hAnsi="HungFont-Regular" w:cs="HungFont-Regular"/>
          <w:color w:val="FF6900"/>
          <w:sz w:val="23"/>
          <w:szCs w:val="23"/>
          <w:lang w:eastAsia="en-US"/>
        </w:rPr>
        <w:t xml:space="preserve">8 </w:t>
      </w:r>
      <w:r w:rsidRPr="00732082">
        <w:rPr>
          <w:rFonts w:ascii="Solitas-ConReg" w:eastAsiaTheme="minorHAnsi" w:hAnsi="Solitas-ConReg" w:cs="Solitas-ConReg"/>
          <w:color w:val="000094"/>
          <w:sz w:val="23"/>
          <w:szCs w:val="23"/>
          <w:lang w:eastAsia="en-US"/>
        </w:rPr>
        <w:t>Les perméases permettent :</w:t>
      </w:r>
    </w:p>
    <w:p w14:paraId="3E3D683F"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a. </w:t>
      </w:r>
      <w:r w:rsidRPr="00732082">
        <w:rPr>
          <w:rFonts w:ascii="Solitas-ConBoo" w:eastAsiaTheme="minorHAnsi" w:hAnsi="Solitas-ConBoo" w:cs="Solitas-ConBoo"/>
          <w:color w:val="000000"/>
          <w:sz w:val="23"/>
          <w:szCs w:val="23"/>
          <w:highlight w:val="yellow"/>
          <w:lang w:eastAsia="en-US"/>
        </w:rPr>
        <w:t>le transport passif</w:t>
      </w:r>
    </w:p>
    <w:p w14:paraId="54D501A4"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b. </w:t>
      </w:r>
      <w:r w:rsidRPr="00732082">
        <w:rPr>
          <w:rFonts w:ascii="Solitas-ConBoo" w:eastAsiaTheme="minorHAnsi" w:hAnsi="Solitas-ConBoo" w:cs="Solitas-ConBoo"/>
          <w:color w:val="000000"/>
          <w:sz w:val="23"/>
          <w:szCs w:val="23"/>
          <w:lang w:eastAsia="en-US"/>
        </w:rPr>
        <w:t>le passage de l’eau</w:t>
      </w:r>
    </w:p>
    <w:p w14:paraId="0AACD8BB"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c. </w:t>
      </w:r>
      <w:r w:rsidRPr="00732082">
        <w:rPr>
          <w:rFonts w:ascii="Solitas-ConBoo" w:eastAsiaTheme="minorHAnsi" w:hAnsi="Solitas-ConBoo" w:cs="Solitas-ConBoo"/>
          <w:color w:val="000000"/>
          <w:sz w:val="23"/>
          <w:szCs w:val="23"/>
          <w:lang w:eastAsia="en-US"/>
        </w:rPr>
        <w:t>le transport des molécules hydrophobes</w:t>
      </w:r>
    </w:p>
    <w:p w14:paraId="240343D8" w14:textId="77777777" w:rsidR="00732082" w:rsidRPr="00732082" w:rsidRDefault="00732082" w:rsidP="00732082">
      <w:pPr>
        <w:autoSpaceDE w:val="0"/>
        <w:autoSpaceDN w:val="0"/>
        <w:adjustRightInd w:val="0"/>
        <w:rPr>
          <w:rFonts w:ascii="Solitas-ConReg" w:eastAsiaTheme="minorHAnsi" w:hAnsi="Solitas-ConReg" w:cs="Solitas-ConReg"/>
          <w:color w:val="000094"/>
          <w:sz w:val="23"/>
          <w:szCs w:val="23"/>
          <w:lang w:eastAsia="en-US"/>
        </w:rPr>
      </w:pPr>
      <w:r w:rsidRPr="00732082">
        <w:rPr>
          <w:rFonts w:ascii="HungFont-Regular" w:eastAsiaTheme="minorHAnsi" w:hAnsi="HungFont-Regular" w:cs="HungFont-Regular"/>
          <w:color w:val="FF6900"/>
          <w:sz w:val="23"/>
          <w:szCs w:val="23"/>
          <w:lang w:eastAsia="en-US"/>
        </w:rPr>
        <w:t xml:space="preserve">9 </w:t>
      </w:r>
      <w:r w:rsidRPr="00732082">
        <w:rPr>
          <w:rFonts w:ascii="Solitas-ConReg" w:eastAsiaTheme="minorHAnsi" w:hAnsi="Solitas-ConReg" w:cs="Solitas-ConReg"/>
          <w:color w:val="000094"/>
          <w:sz w:val="23"/>
          <w:szCs w:val="23"/>
          <w:lang w:eastAsia="en-US"/>
        </w:rPr>
        <w:t>La malabsorption peut se traduire par :</w:t>
      </w:r>
    </w:p>
    <w:p w14:paraId="2C4E7B01"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a. </w:t>
      </w:r>
      <w:r w:rsidRPr="00732082">
        <w:rPr>
          <w:rFonts w:ascii="Solitas-ConBoo" w:eastAsiaTheme="minorHAnsi" w:hAnsi="Solitas-ConBoo" w:cs="Solitas-ConBoo"/>
          <w:color w:val="000000"/>
          <w:sz w:val="23"/>
          <w:szCs w:val="23"/>
          <w:highlight w:val="yellow"/>
          <w:lang w:eastAsia="en-US"/>
        </w:rPr>
        <w:t>une diminution des microvillosités</w:t>
      </w:r>
    </w:p>
    <w:p w14:paraId="59D19E6B"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b. </w:t>
      </w:r>
      <w:r w:rsidRPr="00732082">
        <w:rPr>
          <w:rFonts w:ascii="Solitas-ConBoo" w:eastAsiaTheme="minorHAnsi" w:hAnsi="Solitas-ConBoo" w:cs="Solitas-ConBoo"/>
          <w:color w:val="000000"/>
          <w:sz w:val="23"/>
          <w:szCs w:val="23"/>
          <w:highlight w:val="yellow"/>
          <w:lang w:eastAsia="en-US"/>
        </w:rPr>
        <w:t>une diminution des valvules</w:t>
      </w:r>
    </w:p>
    <w:p w14:paraId="59B74C88"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c. </w:t>
      </w:r>
      <w:r w:rsidRPr="00732082">
        <w:rPr>
          <w:rFonts w:ascii="Solitas-ConBoo" w:eastAsiaTheme="minorHAnsi" w:hAnsi="Solitas-ConBoo" w:cs="Solitas-ConBoo"/>
          <w:color w:val="000000"/>
          <w:sz w:val="23"/>
          <w:szCs w:val="23"/>
          <w:lang w:eastAsia="en-US"/>
        </w:rPr>
        <w:t>une augmentation des sucs pancréatiques</w:t>
      </w:r>
    </w:p>
    <w:p w14:paraId="67FFD931" w14:textId="77777777" w:rsidR="00732082" w:rsidRPr="00732082" w:rsidRDefault="00732082" w:rsidP="00732082">
      <w:pPr>
        <w:autoSpaceDE w:val="0"/>
        <w:autoSpaceDN w:val="0"/>
        <w:adjustRightInd w:val="0"/>
        <w:rPr>
          <w:rFonts w:ascii="Solitas-ConReg" w:eastAsiaTheme="minorHAnsi" w:hAnsi="Solitas-ConReg" w:cs="Solitas-ConReg"/>
          <w:color w:val="000094"/>
          <w:sz w:val="23"/>
          <w:szCs w:val="23"/>
          <w:lang w:eastAsia="en-US"/>
        </w:rPr>
      </w:pPr>
      <w:r w:rsidRPr="00732082">
        <w:rPr>
          <w:rFonts w:ascii="HungFont-Regular" w:eastAsiaTheme="minorHAnsi" w:hAnsi="HungFont-Regular" w:cs="HungFont-Regular"/>
          <w:color w:val="FF6900"/>
          <w:sz w:val="23"/>
          <w:szCs w:val="23"/>
          <w:lang w:eastAsia="en-US"/>
        </w:rPr>
        <w:t xml:space="preserve">10 </w:t>
      </w:r>
      <w:r w:rsidRPr="00732082">
        <w:rPr>
          <w:rFonts w:ascii="Solitas-ConReg" w:eastAsiaTheme="minorHAnsi" w:hAnsi="Solitas-ConReg" w:cs="Solitas-ConReg"/>
          <w:color w:val="000094"/>
          <w:sz w:val="23"/>
          <w:szCs w:val="23"/>
          <w:lang w:eastAsia="en-US"/>
        </w:rPr>
        <w:t>L’osmose est :</w:t>
      </w:r>
    </w:p>
    <w:p w14:paraId="5D3C1A32"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a. </w:t>
      </w:r>
      <w:r w:rsidRPr="00732082">
        <w:rPr>
          <w:rFonts w:ascii="Solitas-ConBoo" w:eastAsiaTheme="minorHAnsi" w:hAnsi="Solitas-ConBoo" w:cs="Solitas-ConBoo"/>
          <w:color w:val="000000"/>
          <w:sz w:val="23"/>
          <w:szCs w:val="23"/>
          <w:lang w:eastAsia="en-US"/>
        </w:rPr>
        <w:t>une lyse des mitochondries</w:t>
      </w:r>
    </w:p>
    <w:p w14:paraId="65C5D17E" w14:textId="77777777" w:rsidR="00732082"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b. </w:t>
      </w:r>
      <w:r w:rsidRPr="00732082">
        <w:rPr>
          <w:rFonts w:ascii="Solitas-ConBoo" w:eastAsiaTheme="minorHAnsi" w:hAnsi="Solitas-ConBoo" w:cs="Solitas-ConBoo"/>
          <w:color w:val="000000"/>
          <w:sz w:val="23"/>
          <w:szCs w:val="23"/>
          <w:highlight w:val="yellow"/>
          <w:lang w:eastAsia="en-US"/>
        </w:rPr>
        <w:t>une force exercée sur l’eau en raison d’une différence de concentrations</w:t>
      </w:r>
    </w:p>
    <w:p w14:paraId="0A67627F" w14:textId="2630F1FE" w:rsidR="00783BE8" w:rsidRPr="00732082" w:rsidRDefault="00732082" w:rsidP="00732082">
      <w:pPr>
        <w:autoSpaceDE w:val="0"/>
        <w:autoSpaceDN w:val="0"/>
        <w:adjustRightInd w:val="0"/>
        <w:rPr>
          <w:rFonts w:ascii="Solitas-ConBoo" w:eastAsiaTheme="minorHAnsi" w:hAnsi="Solitas-ConBoo" w:cs="Solitas-ConBoo"/>
          <w:color w:val="000000"/>
          <w:sz w:val="23"/>
          <w:szCs w:val="23"/>
          <w:lang w:eastAsia="en-US"/>
        </w:rPr>
      </w:pPr>
      <w:r w:rsidRPr="00732082">
        <w:rPr>
          <w:rFonts w:ascii="Solitas-ConMed" w:eastAsiaTheme="minorHAnsi" w:hAnsi="Solitas-ConMed" w:cs="Solitas-ConMed"/>
          <w:color w:val="FF6900"/>
          <w:sz w:val="23"/>
          <w:szCs w:val="23"/>
          <w:lang w:eastAsia="en-US"/>
        </w:rPr>
        <w:t xml:space="preserve">c. </w:t>
      </w:r>
      <w:r w:rsidRPr="00732082">
        <w:rPr>
          <w:rFonts w:ascii="Solitas-ConBoo" w:eastAsiaTheme="minorHAnsi" w:hAnsi="Solitas-ConBoo" w:cs="Solitas-ConBoo"/>
          <w:color w:val="000000"/>
          <w:sz w:val="23"/>
          <w:szCs w:val="23"/>
          <w:lang w:eastAsia="en-US"/>
        </w:rPr>
        <w:t>un soluté</w:t>
      </w:r>
      <w:bookmarkStart w:id="0" w:name="_GoBack"/>
      <w:bookmarkEnd w:id="0"/>
    </w:p>
    <w:sectPr w:rsidR="00783BE8" w:rsidRPr="00732082" w:rsidSect="00F87FA5">
      <w:footerReference w:type="even" r:id="rId11"/>
      <w:footerReference w:type="default" r:id="rId12"/>
      <w:pgSz w:w="11907" w:h="16839" w:code="9"/>
      <w:pgMar w:top="1417" w:right="1417" w:bottom="1417" w:left="1417" w:header="0" w:footer="425"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00F83" w14:textId="77777777" w:rsidR="004E3464" w:rsidRDefault="004E3464" w:rsidP="004016EA">
      <w:r>
        <w:separator/>
      </w:r>
    </w:p>
  </w:endnote>
  <w:endnote w:type="continuationSeparator" w:id="0">
    <w:p w14:paraId="12BB03F3" w14:textId="77777777" w:rsidR="004E3464" w:rsidRDefault="004E3464" w:rsidP="00401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ide Pedago Times">
    <w:altName w:val="Calibri"/>
    <w:panose1 w:val="00000000000000000000"/>
    <w:charset w:val="00"/>
    <w:family w:val="modern"/>
    <w:notTrueType/>
    <w:pitch w:val="variable"/>
    <w:sig w:usb0="800000AF" w:usb1="1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GuidePedagoTimes">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GuidePedagoArial">
    <w:altName w:val="Calibri"/>
    <w:panose1 w:val="00000000000000000000"/>
    <w:charset w:val="4D"/>
    <w:family w:val="auto"/>
    <w:notTrueType/>
    <w:pitch w:val="default"/>
    <w:sig w:usb0="00000003" w:usb1="00000000" w:usb2="00000000" w:usb3="00000000" w:csb0="00000001" w:csb1="00000000"/>
  </w:font>
  <w:font w:name="GuidePedagoNCond">
    <w:altName w:val="Calibri"/>
    <w:panose1 w:val="00000000000000000000"/>
    <w:charset w:val="4D"/>
    <w:family w:val="auto"/>
    <w:notTrueType/>
    <w:pitch w:val="default"/>
    <w:sig w:usb0="00000003" w:usb1="00000000" w:usb2="00000000" w:usb3="00000000" w:csb0="00000001" w:csb1="00000000"/>
  </w:font>
  <w:font w:name="GuidePedagoTimes-Bold">
    <w:altName w:val="Calibri"/>
    <w:panose1 w:val="00000000000000000000"/>
    <w:charset w:val="4D"/>
    <w:family w:val="auto"/>
    <w:notTrueType/>
    <w:pitch w:val="default"/>
    <w:sig w:usb0="00000003" w:usb1="00000000" w:usb2="00000000" w:usb3="00000000" w:csb0="00000001" w:csb1="00000000"/>
  </w:font>
  <w:font w:name="GuidePedagoNCond-Italic">
    <w:altName w:val="Calibri"/>
    <w:panose1 w:val="00000000000000000000"/>
    <w:charset w:val="4D"/>
    <w:family w:val="auto"/>
    <w:notTrueType/>
    <w:pitch w:val="default"/>
    <w:sig w:usb0="00000003" w:usb1="00000000" w:usb2="00000000" w:usb3="00000000" w:csb0="00000001" w:csb1="00000000"/>
  </w:font>
  <w:font w:name="GuidePedagoNCond-Bold">
    <w:altName w:val="Calibri"/>
    <w:panose1 w:val="00000000000000000000"/>
    <w:charset w:val="4D"/>
    <w:family w:val="auto"/>
    <w:notTrueType/>
    <w:pitch w:val="default"/>
    <w:sig w:usb0="00000003" w:usb1="00000000" w:usb2="00000000" w:usb3="00000000" w:csb0="00000001" w:csb1="00000000"/>
  </w:font>
  <w:font w:name="Guide Pedago NCond">
    <w:altName w:val="Arial"/>
    <w:panose1 w:val="00000000000000000000"/>
    <w:charset w:val="00"/>
    <w:family w:val="swiss"/>
    <w:notTrueType/>
    <w:pitch w:val="variable"/>
    <w:sig w:usb0="800000AF" w:usb1="4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Guide Pedago Arial">
    <w:altName w:val="Arial"/>
    <w:panose1 w:val="00000000000000000000"/>
    <w:charset w:val="00"/>
    <w:family w:val="swiss"/>
    <w:notTrueType/>
    <w:pitch w:val="variable"/>
    <w:sig w:usb0="00000001" w:usb1="4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PreloSlab-Bold">
    <w:altName w:val="Cambria"/>
    <w:panose1 w:val="00000000000000000000"/>
    <w:charset w:val="00"/>
    <w:family w:val="roman"/>
    <w:notTrueType/>
    <w:pitch w:val="default"/>
    <w:sig w:usb0="00000003" w:usb1="00000000" w:usb2="00000000" w:usb3="00000000" w:csb0="00000001" w:csb1="00000000"/>
  </w:font>
  <w:font w:name="HungFont-Regular">
    <w:altName w:val="Calibri"/>
    <w:panose1 w:val="00000000000000000000"/>
    <w:charset w:val="00"/>
    <w:family w:val="swiss"/>
    <w:notTrueType/>
    <w:pitch w:val="default"/>
    <w:sig w:usb0="00000003" w:usb1="00000000" w:usb2="00000000" w:usb3="00000000" w:csb0="00000001" w:csb1="00000000"/>
  </w:font>
  <w:font w:name="Solitas-ConReg">
    <w:altName w:val="Calibri"/>
    <w:panose1 w:val="00000000000000000000"/>
    <w:charset w:val="00"/>
    <w:family w:val="swiss"/>
    <w:notTrueType/>
    <w:pitch w:val="default"/>
    <w:sig w:usb0="00000003" w:usb1="00000000" w:usb2="00000000" w:usb3="00000000" w:csb0="00000001" w:csb1="00000000"/>
  </w:font>
  <w:font w:name="Solitas-ConMed">
    <w:altName w:val="Calibri"/>
    <w:panose1 w:val="00000000000000000000"/>
    <w:charset w:val="00"/>
    <w:family w:val="swiss"/>
    <w:notTrueType/>
    <w:pitch w:val="default"/>
    <w:sig w:usb0="00000003" w:usb1="00000000" w:usb2="00000000" w:usb3="00000000" w:csb0="00000001" w:csb1="00000000"/>
  </w:font>
  <w:font w:name="Solitas-ConBo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3C5F2" w14:textId="77777777" w:rsidR="004016EA" w:rsidRPr="004016EA" w:rsidRDefault="006C0120" w:rsidP="007C4DF0">
    <w:pPr>
      <w:pStyle w:val="Pieddepagegauche"/>
      <w:tabs>
        <w:tab w:val="clear" w:pos="7340"/>
        <w:tab w:val="right" w:pos="10206"/>
      </w:tabs>
      <w:rPr>
        <w:w w:val="100"/>
      </w:rPr>
    </w:pPr>
    <w:r>
      <w:rPr>
        <w:rStyle w:val="Folio"/>
        <w:b/>
        <w:bCs/>
      </w:rPr>
      <w:fldChar w:fldCharType="begin"/>
    </w:r>
    <w:r w:rsidR="004016EA">
      <w:rPr>
        <w:rStyle w:val="Folio"/>
        <w:b/>
        <w:bCs/>
      </w:rPr>
      <w:instrText xml:space="preserve"> PAGE </w:instrText>
    </w:r>
    <w:r>
      <w:rPr>
        <w:rStyle w:val="Folio"/>
        <w:b/>
        <w:bCs/>
      </w:rPr>
      <w:fldChar w:fldCharType="separate"/>
    </w:r>
    <w:r w:rsidR="00D7575C">
      <w:rPr>
        <w:rStyle w:val="Folio"/>
        <w:b/>
        <w:bCs/>
        <w:noProof/>
      </w:rPr>
      <w:t>6</w:t>
    </w:r>
    <w:r>
      <w:rPr>
        <w:rStyle w:val="Folio"/>
        <w:b/>
        <w:bCs/>
      </w:rPr>
      <w:fldChar w:fldCharType="end"/>
    </w:r>
    <w:r w:rsidR="004016EA">
      <w:rPr>
        <w:rStyle w:val="Folio"/>
        <w:b/>
        <w:bCs/>
      </w:rPr>
      <w:t xml:space="preserve"> </w:t>
    </w:r>
    <w:r w:rsidR="004016EA">
      <w:rPr>
        <w:w w:val="100"/>
      </w:rPr>
      <w:tab/>
    </w:r>
    <w:r w:rsidR="00886F35">
      <w:t>Partie 3 Appareil digestif et nutrition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41727" w14:textId="77777777" w:rsidR="004016EA" w:rsidRDefault="004016EA" w:rsidP="00C20988">
    <w:pPr>
      <w:pStyle w:val="Pieddepagedroite"/>
    </w:pPr>
    <w:r>
      <w:rPr>
        <w:rStyle w:val="Bold"/>
      </w:rPr>
      <w:t>Chapitre </w:t>
    </w:r>
    <w:r w:rsidR="00886F35">
      <w:rPr>
        <w:rStyle w:val="Bold"/>
      </w:rPr>
      <w:t>8</w:t>
    </w:r>
    <w:r>
      <w:t xml:space="preserve"> </w:t>
    </w:r>
    <w:r w:rsidR="007C4DF0">
      <w:t>–</w:t>
    </w:r>
    <w:r>
      <w:t xml:space="preserve"> </w:t>
    </w:r>
    <w:r w:rsidR="00886F35">
      <w:t>Absorption intestinale</w:t>
    </w:r>
    <w:r>
      <w:tab/>
    </w:r>
    <w:r w:rsidR="006C0120">
      <w:rPr>
        <w:rStyle w:val="Folio"/>
      </w:rPr>
      <w:fldChar w:fldCharType="begin"/>
    </w:r>
    <w:r>
      <w:rPr>
        <w:rStyle w:val="Folio"/>
      </w:rPr>
      <w:instrText xml:space="preserve"> PAGE </w:instrText>
    </w:r>
    <w:r w:rsidR="006C0120">
      <w:rPr>
        <w:rStyle w:val="Folio"/>
      </w:rPr>
      <w:fldChar w:fldCharType="separate"/>
    </w:r>
    <w:r w:rsidR="00D7575C">
      <w:rPr>
        <w:rStyle w:val="Folio"/>
        <w:noProof/>
      </w:rPr>
      <w:t>5</w:t>
    </w:r>
    <w:r w:rsidR="006C0120">
      <w:rPr>
        <w:rStyle w:val="Folio"/>
      </w:rPr>
      <w:fldChar w:fldCharType="end"/>
    </w:r>
    <w:r>
      <w:rPr>
        <w:rStyle w:val="Foli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B8101" w14:textId="77777777" w:rsidR="004E3464" w:rsidRDefault="004E3464" w:rsidP="004016EA">
      <w:r>
        <w:separator/>
      </w:r>
    </w:p>
  </w:footnote>
  <w:footnote w:type="continuationSeparator" w:id="0">
    <w:p w14:paraId="0CCA0BCA" w14:textId="77777777" w:rsidR="004E3464" w:rsidRDefault="004E3464" w:rsidP="004016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0B9"/>
    <w:multiLevelType w:val="hybridMultilevel"/>
    <w:tmpl w:val="A546EE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8654E9"/>
    <w:multiLevelType w:val="hybridMultilevel"/>
    <w:tmpl w:val="8D28C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25F6C"/>
    <w:multiLevelType w:val="hybridMultilevel"/>
    <w:tmpl w:val="C3C01886"/>
    <w:lvl w:ilvl="0" w:tplc="72882C5A">
      <w:start w:val="1"/>
      <w:numFmt w:val="bullet"/>
      <w:pStyle w:val="Tableaulistepuce"/>
      <w:lvlText w:val=""/>
      <w:lvlJc w:val="left"/>
      <w:pPr>
        <w:tabs>
          <w:tab w:val="num" w:pos="57"/>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F58CA"/>
    <w:multiLevelType w:val="hybridMultilevel"/>
    <w:tmpl w:val="1FDEC970"/>
    <w:lvl w:ilvl="0" w:tplc="19787DCA">
      <w:start w:val="1"/>
      <w:numFmt w:val="bullet"/>
      <w:pStyle w:val="Icono"/>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9732F8"/>
    <w:multiLevelType w:val="hybridMultilevel"/>
    <w:tmpl w:val="1BD2BBAC"/>
    <w:lvl w:ilvl="0" w:tplc="BFA00F16">
      <w:start w:val="1"/>
      <w:numFmt w:val="bullet"/>
      <w:pStyle w:val="Tableauliste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3823D9"/>
    <w:multiLevelType w:val="hybridMultilevel"/>
    <w:tmpl w:val="7C2E6EA6"/>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14BD3AF0"/>
    <w:multiLevelType w:val="hybridMultilevel"/>
    <w:tmpl w:val="A8DEDA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F853CB"/>
    <w:multiLevelType w:val="hybridMultilevel"/>
    <w:tmpl w:val="97A2BD3A"/>
    <w:lvl w:ilvl="0" w:tplc="54DE19F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A765E1"/>
    <w:multiLevelType w:val="multilevel"/>
    <w:tmpl w:val="17F694A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D57A45"/>
    <w:multiLevelType w:val="hybridMultilevel"/>
    <w:tmpl w:val="0FBCD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505A2C"/>
    <w:multiLevelType w:val="hybridMultilevel"/>
    <w:tmpl w:val="3F02ABC4"/>
    <w:lvl w:ilvl="0" w:tplc="B9CE9376">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D1D1FBF"/>
    <w:multiLevelType w:val="hybridMultilevel"/>
    <w:tmpl w:val="46F46232"/>
    <w:lvl w:ilvl="0" w:tplc="2B1A10A0">
      <w:start w:val="1"/>
      <w:numFmt w:val="bullet"/>
      <w:pStyle w:val="TEnumpoint"/>
      <w:lvlText w:val="·"/>
      <w:lvlJc w:val="left"/>
      <w:pPr>
        <w:tabs>
          <w:tab w:val="num" w:pos="170"/>
        </w:tabs>
      </w:pPr>
      <w:rPr>
        <w:rFonts w:ascii="Guide Pedago Times" w:hAnsi="Guide Pedago Time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712BC2"/>
    <w:multiLevelType w:val="hybridMultilevel"/>
    <w:tmpl w:val="9F68E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4A69E8"/>
    <w:multiLevelType w:val="hybridMultilevel"/>
    <w:tmpl w:val="0F545B1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39EC8B10">
      <w:numFmt w:val="bullet"/>
      <w:lvlText w:val="-"/>
      <w:lvlJc w:val="left"/>
      <w:pPr>
        <w:ind w:left="2880" w:hanging="360"/>
      </w:pPr>
      <w:rPr>
        <w:rFonts w:ascii="Calibri" w:eastAsia="Calibri" w:hAnsi="Calibri" w:cs="Calibr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2C3745"/>
    <w:multiLevelType w:val="hybridMultilevel"/>
    <w:tmpl w:val="F8AC7CA0"/>
    <w:lvl w:ilvl="0" w:tplc="9222B06E">
      <w:start w:val="1"/>
      <w:numFmt w:val="bullet"/>
      <w:pStyle w:val="Rponseincorrecte"/>
      <w:lvlText w:val=""/>
      <w:lvlJc w:val="left"/>
      <w:pPr>
        <w:ind w:left="71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30436E"/>
    <w:multiLevelType w:val="hybridMultilevel"/>
    <w:tmpl w:val="0FD837F0"/>
    <w:lvl w:ilvl="0" w:tplc="1D8E42F4">
      <w:numFmt w:val="bullet"/>
      <w:lvlText w:val="-"/>
      <w:lvlJc w:val="left"/>
      <w:pPr>
        <w:ind w:left="720" w:hanging="360"/>
      </w:pPr>
      <w:rPr>
        <w:rFonts w:ascii="GuidePedagoTimes" w:eastAsia="Times New Roman" w:hAnsi="GuidePedagoTimes" w:cs="GuidePedago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785785"/>
    <w:multiLevelType w:val="multilevel"/>
    <w:tmpl w:val="210406F6"/>
    <w:lvl w:ilvl="0">
      <w:start w:val="1"/>
      <w:numFmt w:val="bullet"/>
      <w:lvlText w:val="-"/>
      <w:lvlJc w:val="left"/>
      <w:pPr>
        <w:tabs>
          <w:tab w:val="num" w:pos="170"/>
        </w:tabs>
        <w:ind w:left="170" w:hanging="170"/>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08032C"/>
    <w:multiLevelType w:val="hybridMultilevel"/>
    <w:tmpl w:val="20944EEA"/>
    <w:lvl w:ilvl="0" w:tplc="C054CC5A">
      <w:start w:val="2"/>
      <w:numFmt w:val="decimal"/>
      <w:lvlText w:val="%1"/>
      <w:lvlJc w:val="left"/>
      <w:pPr>
        <w:ind w:left="720" w:hanging="360"/>
      </w:pPr>
      <w:rPr>
        <w:rFonts w:ascii="Times New Roman" w:eastAsia="Calibri" w:hAnsi="Times New Roman"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B661A11"/>
    <w:multiLevelType w:val="hybridMultilevel"/>
    <w:tmpl w:val="42EEF4C6"/>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850DD6"/>
    <w:multiLevelType w:val="hybridMultilevel"/>
    <w:tmpl w:val="00CCDABC"/>
    <w:lvl w:ilvl="0" w:tplc="E040AF80">
      <w:start w:val="1"/>
      <w:numFmt w:val="bullet"/>
      <w:pStyle w:val="Rponsecorrecte"/>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0" w15:restartNumberingAfterBreak="0">
    <w:nsid w:val="3D454DEA"/>
    <w:multiLevelType w:val="hybridMultilevel"/>
    <w:tmpl w:val="A2063C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262800"/>
    <w:multiLevelType w:val="multilevel"/>
    <w:tmpl w:val="3F3C4ED0"/>
    <w:lvl w:ilvl="0">
      <w:start w:val="1"/>
      <w:numFmt w:val="bullet"/>
      <w:lvlText w:val="-"/>
      <w:lvlJc w:val="left"/>
      <w:pPr>
        <w:tabs>
          <w:tab w:val="num" w:pos="113"/>
        </w:tabs>
        <w:ind w:left="113"/>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204C3F"/>
    <w:multiLevelType w:val="hybridMultilevel"/>
    <w:tmpl w:val="ABF6A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ED1AE9"/>
    <w:multiLevelType w:val="multilevel"/>
    <w:tmpl w:val="292E2590"/>
    <w:lvl w:ilvl="0">
      <w:start w:val="1"/>
      <w:numFmt w:val="bullet"/>
      <w:lvlText w:val="-"/>
      <w:lvlJc w:val="left"/>
      <w:pPr>
        <w:tabs>
          <w:tab w:val="num" w:pos="113"/>
        </w:tabs>
        <w:ind w:left="227"/>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7D5011"/>
    <w:multiLevelType w:val="hybridMultilevel"/>
    <w:tmpl w:val="2F60BF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C4F3BFD"/>
    <w:multiLevelType w:val="hybridMultilevel"/>
    <w:tmpl w:val="1D2C7854"/>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0B68A4"/>
    <w:multiLevelType w:val="hybridMultilevel"/>
    <w:tmpl w:val="3BB29C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1F578D2"/>
    <w:multiLevelType w:val="hybridMultilevel"/>
    <w:tmpl w:val="DE32B54C"/>
    <w:lvl w:ilvl="0" w:tplc="E22C554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4AB6244"/>
    <w:multiLevelType w:val="hybridMultilevel"/>
    <w:tmpl w:val="6FF6A60C"/>
    <w:lvl w:ilvl="0" w:tplc="5E7088D2">
      <w:numFmt w:val="bullet"/>
      <w:lvlText w:val="#"/>
      <w:lvlJc w:val="left"/>
      <w:pPr>
        <w:ind w:left="720" w:hanging="360"/>
      </w:pPr>
      <w:rPr>
        <w:rFonts w:ascii="GuidePedagoTimes" w:eastAsia="Times New Roman" w:hAnsi="GuidePedagoTimes" w:cs="GuidePedago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2E3DD3"/>
    <w:multiLevelType w:val="multilevel"/>
    <w:tmpl w:val="911ED404"/>
    <w:lvl w:ilvl="0">
      <w:start w:val="1"/>
      <w:numFmt w:val="bullet"/>
      <w:lvlText w:val="-"/>
      <w:lvlJc w:val="left"/>
      <w:pPr>
        <w:tabs>
          <w:tab w:val="num" w:pos="113"/>
        </w:tabs>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4F61F5"/>
    <w:multiLevelType w:val="hybridMultilevel"/>
    <w:tmpl w:val="867CD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96689E"/>
    <w:multiLevelType w:val="hybridMultilevel"/>
    <w:tmpl w:val="75B64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C11A58"/>
    <w:multiLevelType w:val="hybridMultilevel"/>
    <w:tmpl w:val="B6182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7D70143"/>
    <w:multiLevelType w:val="hybridMultilevel"/>
    <w:tmpl w:val="4E601BC2"/>
    <w:lvl w:ilvl="0" w:tplc="8FB0FBBA">
      <w:start w:val="1"/>
      <w:numFmt w:val="bullet"/>
      <w:pStyle w:val="TEnumpuce"/>
      <w:lvlText w:val=""/>
      <w:lvlJc w:val="left"/>
      <w:pPr>
        <w:tabs>
          <w:tab w:val="num" w:pos="170"/>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2B2D18"/>
    <w:multiLevelType w:val="multilevel"/>
    <w:tmpl w:val="7DD60C5E"/>
    <w:lvl w:ilvl="0">
      <w:start w:val="1"/>
      <w:numFmt w:val="bullet"/>
      <w:lvlText w:val="-"/>
      <w:lvlJc w:val="left"/>
      <w:pPr>
        <w:tabs>
          <w:tab w:val="num" w:pos="227"/>
        </w:tabs>
        <w:ind w:left="227" w:hanging="227"/>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CE7F8F"/>
    <w:multiLevelType w:val="hybridMultilevel"/>
    <w:tmpl w:val="CB181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D21D68"/>
    <w:multiLevelType w:val="hybridMultilevel"/>
    <w:tmpl w:val="8722AAE2"/>
    <w:lvl w:ilvl="0" w:tplc="5B0AF126">
      <w:start w:val="1"/>
      <w:numFmt w:val="bullet"/>
      <w:pStyle w:val="09Commentaireliste"/>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DD3EA4"/>
    <w:multiLevelType w:val="hybridMultilevel"/>
    <w:tmpl w:val="911ED404"/>
    <w:lvl w:ilvl="0" w:tplc="A9FC94E8">
      <w:start w:val="1"/>
      <w:numFmt w:val="bullet"/>
      <w:pStyle w:val="TEnum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4"/>
  </w:num>
  <w:num w:numId="4">
    <w:abstractNumId w:val="21"/>
  </w:num>
  <w:num w:numId="5">
    <w:abstractNumId w:val="23"/>
  </w:num>
  <w:num w:numId="6">
    <w:abstractNumId w:val="34"/>
  </w:num>
  <w:num w:numId="7">
    <w:abstractNumId w:val="16"/>
  </w:num>
  <w:num w:numId="8">
    <w:abstractNumId w:val="36"/>
  </w:num>
  <w:num w:numId="9">
    <w:abstractNumId w:val="33"/>
  </w:num>
  <w:num w:numId="10">
    <w:abstractNumId w:val="37"/>
  </w:num>
  <w:num w:numId="11">
    <w:abstractNumId w:val="11"/>
  </w:num>
  <w:num w:numId="12">
    <w:abstractNumId w:val="29"/>
  </w:num>
  <w:num w:numId="13">
    <w:abstractNumId w:val="27"/>
  </w:num>
  <w:num w:numId="14">
    <w:abstractNumId w:val="25"/>
  </w:num>
  <w:num w:numId="15">
    <w:abstractNumId w:val="18"/>
  </w:num>
  <w:num w:numId="16">
    <w:abstractNumId w:val="22"/>
  </w:num>
  <w:num w:numId="17">
    <w:abstractNumId w:val="9"/>
  </w:num>
  <w:num w:numId="18">
    <w:abstractNumId w:val="32"/>
  </w:num>
  <w:num w:numId="19">
    <w:abstractNumId w:val="12"/>
  </w:num>
  <w:num w:numId="20">
    <w:abstractNumId w:val="1"/>
  </w:num>
  <w:num w:numId="21">
    <w:abstractNumId w:val="5"/>
  </w:num>
  <w:num w:numId="22">
    <w:abstractNumId w:val="13"/>
  </w:num>
  <w:num w:numId="23">
    <w:abstractNumId w:val="17"/>
  </w:num>
  <w:num w:numId="24">
    <w:abstractNumId w:val="26"/>
  </w:num>
  <w:num w:numId="25">
    <w:abstractNumId w:val="24"/>
  </w:num>
  <w:num w:numId="26">
    <w:abstractNumId w:val="0"/>
  </w:num>
  <w:num w:numId="27">
    <w:abstractNumId w:val="10"/>
  </w:num>
  <w:num w:numId="28">
    <w:abstractNumId w:val="31"/>
  </w:num>
  <w:num w:numId="29">
    <w:abstractNumId w:val="14"/>
  </w:num>
  <w:num w:numId="30">
    <w:abstractNumId w:val="3"/>
  </w:num>
  <w:num w:numId="31">
    <w:abstractNumId w:val="19"/>
  </w:num>
  <w:num w:numId="32">
    <w:abstractNumId w:val="6"/>
  </w:num>
  <w:num w:numId="33">
    <w:abstractNumId w:val="28"/>
  </w:num>
  <w:num w:numId="34">
    <w:abstractNumId w:val="7"/>
  </w:num>
  <w:num w:numId="35">
    <w:abstractNumId w:val="35"/>
  </w:num>
  <w:num w:numId="36">
    <w:abstractNumId w:val="15"/>
  </w:num>
  <w:num w:numId="37">
    <w:abstractNumId w:val="3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7766"/>
    <w:rsid w:val="000200B9"/>
    <w:rsid w:val="00037243"/>
    <w:rsid w:val="00051CC9"/>
    <w:rsid w:val="00054C34"/>
    <w:rsid w:val="00090B67"/>
    <w:rsid w:val="00093193"/>
    <w:rsid w:val="000A2F9F"/>
    <w:rsid w:val="000A31BA"/>
    <w:rsid w:val="000A66E0"/>
    <w:rsid w:val="000B51ED"/>
    <w:rsid w:val="000D0447"/>
    <w:rsid w:val="000D3F6F"/>
    <w:rsid w:val="000D4995"/>
    <w:rsid w:val="000D4DA8"/>
    <w:rsid w:val="000D63A1"/>
    <w:rsid w:val="00136279"/>
    <w:rsid w:val="00151A6E"/>
    <w:rsid w:val="0018183D"/>
    <w:rsid w:val="001A0B80"/>
    <w:rsid w:val="001C5F9C"/>
    <w:rsid w:val="001D2BCA"/>
    <w:rsid w:val="001D68EC"/>
    <w:rsid w:val="0024646B"/>
    <w:rsid w:val="00257766"/>
    <w:rsid w:val="002843A0"/>
    <w:rsid w:val="00297313"/>
    <w:rsid w:val="0030498C"/>
    <w:rsid w:val="00324F73"/>
    <w:rsid w:val="00340A09"/>
    <w:rsid w:val="00362140"/>
    <w:rsid w:val="00394FED"/>
    <w:rsid w:val="003A6641"/>
    <w:rsid w:val="004016EA"/>
    <w:rsid w:val="00427E73"/>
    <w:rsid w:val="00474031"/>
    <w:rsid w:val="004A1FB0"/>
    <w:rsid w:val="004C401C"/>
    <w:rsid w:val="004E20A9"/>
    <w:rsid w:val="004E2AD9"/>
    <w:rsid w:val="004E3464"/>
    <w:rsid w:val="0055192F"/>
    <w:rsid w:val="005B1BBD"/>
    <w:rsid w:val="005C7FFD"/>
    <w:rsid w:val="005F4061"/>
    <w:rsid w:val="00603D06"/>
    <w:rsid w:val="00677DA2"/>
    <w:rsid w:val="0069280D"/>
    <w:rsid w:val="006A11E5"/>
    <w:rsid w:val="006A41BF"/>
    <w:rsid w:val="006B172B"/>
    <w:rsid w:val="006B1910"/>
    <w:rsid w:val="006B7D00"/>
    <w:rsid w:val="006C0120"/>
    <w:rsid w:val="006C485F"/>
    <w:rsid w:val="00703925"/>
    <w:rsid w:val="00706E75"/>
    <w:rsid w:val="00710AAA"/>
    <w:rsid w:val="00722537"/>
    <w:rsid w:val="00732082"/>
    <w:rsid w:val="00757BA2"/>
    <w:rsid w:val="007704FE"/>
    <w:rsid w:val="007763D4"/>
    <w:rsid w:val="00783BE8"/>
    <w:rsid w:val="00783DA3"/>
    <w:rsid w:val="0079080C"/>
    <w:rsid w:val="007C4DF0"/>
    <w:rsid w:val="007D614C"/>
    <w:rsid w:val="007F2001"/>
    <w:rsid w:val="00806FB8"/>
    <w:rsid w:val="00810809"/>
    <w:rsid w:val="00851E0D"/>
    <w:rsid w:val="008554DD"/>
    <w:rsid w:val="00875723"/>
    <w:rsid w:val="00886F35"/>
    <w:rsid w:val="008F41D8"/>
    <w:rsid w:val="009215F2"/>
    <w:rsid w:val="00923A8A"/>
    <w:rsid w:val="009C3943"/>
    <w:rsid w:val="009C7BAC"/>
    <w:rsid w:val="009D53C0"/>
    <w:rsid w:val="009F7671"/>
    <w:rsid w:val="00A3158C"/>
    <w:rsid w:val="00A668CD"/>
    <w:rsid w:val="00A75E05"/>
    <w:rsid w:val="00AA463F"/>
    <w:rsid w:val="00AB4620"/>
    <w:rsid w:val="00AB757A"/>
    <w:rsid w:val="00AD6532"/>
    <w:rsid w:val="00AE7E1E"/>
    <w:rsid w:val="00B03AC3"/>
    <w:rsid w:val="00B052AC"/>
    <w:rsid w:val="00B3166D"/>
    <w:rsid w:val="00B349F3"/>
    <w:rsid w:val="00B57869"/>
    <w:rsid w:val="00B81F3B"/>
    <w:rsid w:val="00B85DDD"/>
    <w:rsid w:val="00BD34C9"/>
    <w:rsid w:val="00BE24B4"/>
    <w:rsid w:val="00BE55E0"/>
    <w:rsid w:val="00BF2D4A"/>
    <w:rsid w:val="00BF47C4"/>
    <w:rsid w:val="00BF47D4"/>
    <w:rsid w:val="00C02E8D"/>
    <w:rsid w:val="00C04655"/>
    <w:rsid w:val="00C20988"/>
    <w:rsid w:val="00C37BCE"/>
    <w:rsid w:val="00C909B4"/>
    <w:rsid w:val="00CB2DF6"/>
    <w:rsid w:val="00CB38BD"/>
    <w:rsid w:val="00CC0FAA"/>
    <w:rsid w:val="00CC14E0"/>
    <w:rsid w:val="00CC15F1"/>
    <w:rsid w:val="00CE6CEF"/>
    <w:rsid w:val="00CF04A9"/>
    <w:rsid w:val="00CF17D4"/>
    <w:rsid w:val="00CF21A7"/>
    <w:rsid w:val="00D10AB9"/>
    <w:rsid w:val="00D1160A"/>
    <w:rsid w:val="00D271CA"/>
    <w:rsid w:val="00D7575C"/>
    <w:rsid w:val="00DE3097"/>
    <w:rsid w:val="00E277D1"/>
    <w:rsid w:val="00E638B8"/>
    <w:rsid w:val="00E756FA"/>
    <w:rsid w:val="00EA49BC"/>
    <w:rsid w:val="00EE26B7"/>
    <w:rsid w:val="00EE3A58"/>
    <w:rsid w:val="00F030C4"/>
    <w:rsid w:val="00F0470C"/>
    <w:rsid w:val="00F053EF"/>
    <w:rsid w:val="00F21A0C"/>
    <w:rsid w:val="00F45FE9"/>
    <w:rsid w:val="00F74F45"/>
    <w:rsid w:val="00F80B95"/>
    <w:rsid w:val="00F87FA5"/>
    <w:rsid w:val="00F97F02"/>
    <w:rsid w:val="00FD274E"/>
    <w:rsid w:val="00FE12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9A7EC66"/>
  <w15:docId w15:val="{CCFA0003-CFA5-4EDA-9E20-8616A5348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pPr>
        <w:spacing w:after="200" w:line="23"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17D4"/>
    <w:pPr>
      <w:spacing w:after="0" w:line="240" w:lineRule="auto"/>
    </w:pPr>
    <w:rPr>
      <w:sz w:val="24"/>
      <w:szCs w:val="24"/>
    </w:rPr>
  </w:style>
  <w:style w:type="paragraph" w:styleId="Titre1">
    <w:name w:val="heading 1"/>
    <w:basedOn w:val="Normal"/>
    <w:next w:val="Normal"/>
    <w:link w:val="Titre1Car"/>
    <w:uiPriority w:val="9"/>
    <w:qFormat/>
    <w:rsid w:val="00F87FA5"/>
    <w:pPr>
      <w:keepNext/>
      <w:keepLines/>
      <w:spacing w:before="240" w:line="259" w:lineRule="auto"/>
      <w:outlineLvl w:val="0"/>
    </w:pPr>
    <w:rPr>
      <w:rFonts w:ascii="Calibri Light" w:hAnsi="Calibri Light"/>
      <w:color w:val="2F5496"/>
      <w:sz w:val="32"/>
      <w:szCs w:val="32"/>
      <w:lang w:val="x-none" w:eastAsia="x-none"/>
    </w:rPr>
  </w:style>
  <w:style w:type="paragraph" w:styleId="Titre2">
    <w:name w:val="heading 2"/>
    <w:basedOn w:val="Normal"/>
    <w:next w:val="Normal"/>
    <w:link w:val="Titre2Car"/>
    <w:uiPriority w:val="9"/>
    <w:unhideWhenUsed/>
    <w:qFormat/>
    <w:rsid w:val="00F87FA5"/>
    <w:pPr>
      <w:keepNext/>
      <w:keepLines/>
      <w:spacing w:before="40" w:line="259" w:lineRule="auto"/>
      <w:outlineLvl w:val="1"/>
    </w:pPr>
    <w:rPr>
      <w:rFonts w:ascii="Calibri Light" w:hAnsi="Calibri Light"/>
      <w:color w:val="2F5496"/>
      <w:sz w:val="26"/>
      <w:szCs w:val="26"/>
      <w:lang w:val="x-none" w:eastAsia="x-none"/>
    </w:rPr>
  </w:style>
  <w:style w:type="paragraph" w:styleId="Titre3">
    <w:name w:val="heading 3"/>
    <w:basedOn w:val="Normal"/>
    <w:next w:val="Normal"/>
    <w:link w:val="Titre3Car"/>
    <w:uiPriority w:val="9"/>
    <w:unhideWhenUsed/>
    <w:qFormat/>
    <w:rsid w:val="00F87FA5"/>
    <w:pPr>
      <w:keepNext/>
      <w:keepLines/>
      <w:spacing w:before="40" w:line="259" w:lineRule="auto"/>
      <w:outlineLvl w:val="2"/>
    </w:pPr>
    <w:rPr>
      <w:rFonts w:ascii="Calibri Light" w:hAnsi="Calibri Light"/>
      <w:color w:val="1F3763"/>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cunstyledeparagraphe">
    <w:name w:val="[Aucun style de paragraphe]"/>
    <w:uiPriority w:val="99"/>
    <w:rsid w:val="00394FED"/>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customStyle="1" w:styleId="00Chaptitre">
    <w:name w:val="00_Chap_titre"/>
    <w:basedOn w:val="Aucunstyledeparagraphe"/>
    <w:uiPriority w:val="99"/>
    <w:rsid w:val="00394FED"/>
    <w:pPr>
      <w:keepNext/>
      <w:keepLines/>
      <w:pageBreakBefore/>
      <w:suppressAutoHyphens/>
      <w:spacing w:after="397" w:line="560" w:lineRule="atLeast"/>
      <w:ind w:left="1417" w:hanging="1417"/>
    </w:pPr>
    <w:rPr>
      <w:rFonts w:ascii="GuidePedagoArial" w:hAnsi="GuidePedagoArial" w:cs="GuidePedagoArial"/>
      <w:sz w:val="48"/>
      <w:szCs w:val="48"/>
    </w:rPr>
  </w:style>
  <w:style w:type="paragraph" w:customStyle="1" w:styleId="02Programmetitre">
    <w:name w:val="02_Programme_titre"/>
    <w:basedOn w:val="Aucunstyledeparagraphe"/>
    <w:uiPriority w:val="99"/>
    <w:rsid w:val="00394FED"/>
    <w:pPr>
      <w:keepNext/>
      <w:keepLines/>
      <w:suppressAutoHyphens/>
      <w:spacing w:before="142" w:line="200" w:lineRule="atLeast"/>
    </w:pPr>
    <w:rPr>
      <w:rFonts w:ascii="GuidePedagoNCond" w:hAnsi="GuidePedagoNCond" w:cs="GuidePedagoNCond"/>
      <w:caps/>
      <w:sz w:val="19"/>
      <w:szCs w:val="19"/>
    </w:rPr>
  </w:style>
  <w:style w:type="paragraph" w:customStyle="1" w:styleId="TTextecourant">
    <w:name w:val="T_Texte_courant"/>
    <w:basedOn w:val="Aucunstyledeparagraphe"/>
    <w:uiPriority w:val="99"/>
    <w:rsid w:val="00394FED"/>
    <w:pPr>
      <w:spacing w:line="260" w:lineRule="atLeast"/>
      <w:jc w:val="both"/>
    </w:pPr>
    <w:rPr>
      <w:rFonts w:ascii="GuidePedagoTimes" w:hAnsi="GuidePedagoTimes" w:cs="GuidePedagoTimes"/>
      <w:sz w:val="22"/>
      <w:szCs w:val="22"/>
    </w:rPr>
  </w:style>
  <w:style w:type="paragraph" w:customStyle="1" w:styleId="Ancrageobjet">
    <w:name w:val="Ancrage_objet"/>
    <w:basedOn w:val="TTextecourant"/>
    <w:uiPriority w:val="99"/>
    <w:rsid w:val="00394FED"/>
    <w:pPr>
      <w:spacing w:before="113" w:after="170" w:line="288" w:lineRule="auto"/>
      <w:jc w:val="center"/>
    </w:pPr>
  </w:style>
  <w:style w:type="paragraph" w:customStyle="1" w:styleId="03Adressesiteprof">
    <w:name w:val="03_Adresse_site_prof"/>
    <w:basedOn w:val="TTextecourant"/>
    <w:next w:val="TTextecourant"/>
    <w:uiPriority w:val="99"/>
    <w:rsid w:val="00CF17D4"/>
    <w:pPr>
      <w:suppressAutoHyphens/>
      <w:spacing w:before="120"/>
      <w:jc w:val="left"/>
    </w:pPr>
    <w:rPr>
      <w:rFonts w:ascii="GuidePedagoTimes-Bold" w:hAnsi="GuidePedagoTimes-Bold" w:cs="GuidePedagoTimes-Bold"/>
      <w:b/>
      <w:bCs/>
    </w:rPr>
  </w:style>
  <w:style w:type="paragraph" w:customStyle="1" w:styleId="08Commentaire">
    <w:name w:val="08_Commentaire"/>
    <w:basedOn w:val="Aucunstyledeparagraphe"/>
    <w:uiPriority w:val="99"/>
    <w:rsid w:val="00394FED"/>
    <w:pPr>
      <w:tabs>
        <w:tab w:val="left" w:pos="280"/>
      </w:tabs>
      <w:spacing w:before="113" w:line="270" w:lineRule="atLeast"/>
      <w:jc w:val="both"/>
    </w:pPr>
    <w:rPr>
      <w:rFonts w:ascii="GuidePedagoNCond-Italic" w:hAnsi="GuidePedagoNCond-Italic" w:cs="GuidePedagoNCond-Italic"/>
      <w:i/>
      <w:iCs/>
      <w:sz w:val="23"/>
      <w:szCs w:val="23"/>
    </w:rPr>
  </w:style>
  <w:style w:type="paragraph" w:customStyle="1" w:styleId="09Commentaireliste">
    <w:name w:val="09_Commentaire_liste"/>
    <w:basedOn w:val="08Commentaire"/>
    <w:uiPriority w:val="99"/>
    <w:rsid w:val="0024646B"/>
    <w:pPr>
      <w:numPr>
        <w:numId w:val="8"/>
      </w:numPr>
      <w:suppressAutoHyphens/>
      <w:spacing w:before="0"/>
    </w:pPr>
  </w:style>
  <w:style w:type="paragraph" w:customStyle="1" w:styleId="04Exercicestitre">
    <w:name w:val="04_Exercices_titre"/>
    <w:basedOn w:val="Aucunstyledeparagraphe"/>
    <w:next w:val="TTextecourant"/>
    <w:uiPriority w:val="99"/>
    <w:rsid w:val="00E638B8"/>
    <w:pPr>
      <w:keepNext/>
      <w:keepLines/>
      <w:suppressAutoHyphens/>
      <w:spacing w:before="680" w:line="310" w:lineRule="atLeast"/>
    </w:pPr>
    <w:rPr>
      <w:rFonts w:ascii="GuidePedagoNCond-Bold" w:hAnsi="GuidePedagoNCond-Bold" w:cs="GuidePedagoNCond-Bold"/>
      <w:b/>
      <w:bCs/>
      <w:color w:val="E36C0A" w:themeColor="accent6" w:themeShade="BF"/>
      <w:sz w:val="27"/>
      <w:szCs w:val="27"/>
    </w:rPr>
  </w:style>
  <w:style w:type="paragraph" w:customStyle="1" w:styleId="05MissionTitre">
    <w:name w:val="05_Mission_Titre"/>
    <w:basedOn w:val="Aucunstyledeparagraphe"/>
    <w:uiPriority w:val="99"/>
    <w:rsid w:val="00E638B8"/>
    <w:pPr>
      <w:keepNext/>
      <w:keepLines/>
      <w:tabs>
        <w:tab w:val="left" w:pos="560"/>
      </w:tabs>
      <w:suppressAutoHyphens/>
      <w:spacing w:before="340" w:after="113" w:line="310" w:lineRule="atLeast"/>
      <w:ind w:left="567" w:hanging="567"/>
    </w:pPr>
    <w:rPr>
      <w:rFonts w:ascii="GuidePedagoNCond" w:hAnsi="GuidePedagoNCond" w:cs="GuidePedagoNCond"/>
      <w:b/>
      <w:color w:val="0070C0"/>
      <w:sz w:val="25"/>
      <w:szCs w:val="25"/>
    </w:rPr>
  </w:style>
  <w:style w:type="paragraph" w:customStyle="1" w:styleId="05ExerciceTitre">
    <w:name w:val="05_Exercice_Titre"/>
    <w:basedOn w:val="Aucunstyledeparagraphe"/>
    <w:uiPriority w:val="99"/>
    <w:rsid w:val="00E638B8"/>
    <w:pPr>
      <w:keepNext/>
      <w:keepLines/>
      <w:suppressAutoHyphens/>
      <w:spacing w:before="198" w:after="85" w:line="310" w:lineRule="atLeast"/>
      <w:ind w:left="567" w:hanging="567"/>
    </w:pPr>
    <w:rPr>
      <w:rFonts w:ascii="GuidePedagoNCond" w:hAnsi="GuidePedagoNCond" w:cs="GuidePedagoNCond"/>
      <w:b/>
      <w:color w:val="D60093"/>
      <w:sz w:val="25"/>
      <w:szCs w:val="25"/>
    </w:rPr>
  </w:style>
  <w:style w:type="paragraph" w:customStyle="1" w:styleId="06Questionenonce">
    <w:name w:val="06_Question_enonce"/>
    <w:basedOn w:val="Aucunstyledeparagraphe"/>
    <w:uiPriority w:val="99"/>
    <w:rsid w:val="00394FED"/>
    <w:pPr>
      <w:keepNext/>
      <w:suppressAutoHyphens/>
      <w:spacing w:before="113" w:line="270" w:lineRule="atLeast"/>
      <w:jc w:val="both"/>
    </w:pPr>
    <w:rPr>
      <w:rFonts w:ascii="GuidePedagoTimes-Bold" w:hAnsi="GuidePedagoTimes-Bold" w:cs="GuidePedagoTimes-Bold"/>
      <w:b/>
      <w:bCs/>
      <w:spacing w:val="-1"/>
      <w:sz w:val="23"/>
      <w:szCs w:val="23"/>
    </w:rPr>
  </w:style>
  <w:style w:type="paragraph" w:customStyle="1" w:styleId="Ancrageobjet1col">
    <w:name w:val="Ancrage_objet_1col"/>
    <w:basedOn w:val="Ancrageobjet"/>
    <w:uiPriority w:val="99"/>
    <w:rsid w:val="00394FED"/>
  </w:style>
  <w:style w:type="paragraph" w:customStyle="1" w:styleId="TEnumpuce">
    <w:name w:val="T_Enum_puce"/>
    <w:basedOn w:val="TTextecourant"/>
    <w:next w:val="TTextecourant"/>
    <w:uiPriority w:val="99"/>
    <w:rsid w:val="0024646B"/>
    <w:pPr>
      <w:numPr>
        <w:numId w:val="9"/>
      </w:numPr>
    </w:pPr>
  </w:style>
  <w:style w:type="paragraph" w:customStyle="1" w:styleId="10Versepreuvetitre">
    <w:name w:val="10_Vers_epreuve_titre"/>
    <w:basedOn w:val="Aucunstyledeparagraphe"/>
    <w:next w:val="11Versepreuve"/>
    <w:uiPriority w:val="99"/>
    <w:rsid w:val="00394FED"/>
    <w:pPr>
      <w:keepNext/>
      <w:keepLines/>
      <w:suppressAutoHyphens/>
      <w:spacing w:before="397" w:line="310" w:lineRule="atLeast"/>
    </w:pPr>
    <w:rPr>
      <w:rFonts w:ascii="GuidePedagoNCond" w:hAnsi="GuidePedagoNCond" w:cs="GuidePedagoNCond"/>
      <w:caps/>
      <w:sz w:val="27"/>
      <w:szCs w:val="27"/>
    </w:rPr>
  </w:style>
  <w:style w:type="paragraph" w:customStyle="1" w:styleId="11Versepreuve">
    <w:name w:val="11_Vers_epreuve"/>
    <w:basedOn w:val="Aucunstyledeparagraphe"/>
    <w:next w:val="TTextecourant"/>
    <w:uiPriority w:val="99"/>
    <w:rsid w:val="00394FED"/>
    <w:pPr>
      <w:keepNext/>
      <w:tabs>
        <w:tab w:val="left" w:pos="560"/>
      </w:tabs>
      <w:suppressAutoHyphens/>
      <w:spacing w:before="85" w:after="85" w:line="310" w:lineRule="atLeast"/>
    </w:pPr>
    <w:rPr>
      <w:rFonts w:ascii="GuidePedagoNCond" w:hAnsi="GuidePedagoNCond" w:cs="GuidePedagoNCond"/>
      <w:sz w:val="25"/>
      <w:szCs w:val="25"/>
    </w:rPr>
  </w:style>
  <w:style w:type="paragraph" w:customStyle="1" w:styleId="TEnumtiret">
    <w:name w:val="T_Enum_tiret"/>
    <w:basedOn w:val="TTextecourant"/>
    <w:next w:val="TTextecourant"/>
    <w:uiPriority w:val="99"/>
    <w:rsid w:val="00806FB8"/>
    <w:pPr>
      <w:numPr>
        <w:numId w:val="10"/>
      </w:numPr>
      <w:tabs>
        <w:tab w:val="clear" w:pos="113"/>
        <w:tab w:val="left" w:pos="170"/>
      </w:tabs>
    </w:pPr>
  </w:style>
  <w:style w:type="paragraph" w:customStyle="1" w:styleId="TEnumpoint">
    <w:name w:val="T_Enum_point"/>
    <w:basedOn w:val="TTextecourant"/>
    <w:next w:val="TTextecourant"/>
    <w:uiPriority w:val="99"/>
    <w:rsid w:val="0024646B"/>
    <w:pPr>
      <w:numPr>
        <w:numId w:val="11"/>
      </w:numPr>
      <w:tabs>
        <w:tab w:val="left" w:pos="100"/>
      </w:tabs>
      <w:suppressAutoHyphens/>
    </w:pPr>
  </w:style>
  <w:style w:type="paragraph" w:customStyle="1" w:styleId="TTitrepuce">
    <w:name w:val="T_Titre_puce"/>
    <w:basedOn w:val="TTextecourant"/>
    <w:next w:val="TTextecourant"/>
    <w:uiPriority w:val="99"/>
    <w:rsid w:val="00394FED"/>
    <w:pPr>
      <w:keepNext/>
      <w:keepLines/>
      <w:tabs>
        <w:tab w:val="left" w:pos="113"/>
      </w:tabs>
      <w:spacing w:before="28"/>
    </w:pPr>
    <w:rPr>
      <w:rFonts w:ascii="GuidePedagoTimes-Bold" w:hAnsi="GuidePedagoTimes-Bold" w:cs="GuidePedagoTimes-Bold"/>
      <w:b/>
      <w:bCs/>
    </w:rPr>
  </w:style>
  <w:style w:type="paragraph" w:customStyle="1" w:styleId="Tableautitre">
    <w:name w:val="Tableau_titre"/>
    <w:basedOn w:val="Aucunstyledeparagraphe"/>
    <w:uiPriority w:val="99"/>
    <w:rsid w:val="00394FED"/>
    <w:pPr>
      <w:suppressAutoHyphens/>
      <w:spacing w:before="170" w:line="210" w:lineRule="atLeast"/>
    </w:pPr>
    <w:rPr>
      <w:rFonts w:ascii="GuidePedagoNCond-Bold" w:hAnsi="GuidePedagoNCond-Bold" w:cs="GuidePedagoNCond-Bold"/>
      <w:b/>
      <w:bCs/>
      <w:sz w:val="19"/>
      <w:szCs w:val="19"/>
    </w:rPr>
  </w:style>
  <w:style w:type="paragraph" w:customStyle="1" w:styleId="Tableaunote">
    <w:name w:val="Tableau_note"/>
    <w:basedOn w:val="Aucunstyledeparagraphe"/>
    <w:uiPriority w:val="99"/>
    <w:rsid w:val="00394FED"/>
    <w:pPr>
      <w:suppressAutoHyphens/>
      <w:spacing w:line="160" w:lineRule="atLeast"/>
    </w:pPr>
    <w:rPr>
      <w:rFonts w:ascii="GuidePedagoNCond" w:hAnsi="GuidePedagoNCond" w:cs="GuidePedagoNCond"/>
      <w:sz w:val="14"/>
      <w:szCs w:val="14"/>
    </w:rPr>
  </w:style>
  <w:style w:type="paragraph" w:customStyle="1" w:styleId="Tableaucourant">
    <w:name w:val="Tableau_courant"/>
    <w:basedOn w:val="Aucunstyledeparagraphe"/>
    <w:uiPriority w:val="99"/>
    <w:rsid w:val="00F97F02"/>
    <w:pPr>
      <w:spacing w:line="180" w:lineRule="atLeast"/>
      <w:jc w:val="both"/>
    </w:pPr>
    <w:rPr>
      <w:rFonts w:ascii="GuidePedagoNCond" w:hAnsi="GuidePedagoNCond" w:cs="GuidePedagoNCond"/>
      <w:szCs w:val="16"/>
    </w:rPr>
  </w:style>
  <w:style w:type="paragraph" w:customStyle="1" w:styleId="Tableausource">
    <w:name w:val="Tableau_source"/>
    <w:basedOn w:val="Tableaucourant"/>
    <w:uiPriority w:val="99"/>
    <w:rsid w:val="00394FED"/>
    <w:pPr>
      <w:jc w:val="right"/>
    </w:pPr>
  </w:style>
  <w:style w:type="paragraph" w:customStyle="1" w:styleId="07Titregras">
    <w:name w:val="07_Titre_gras"/>
    <w:basedOn w:val="TTextecourant"/>
    <w:next w:val="TTextecourant"/>
    <w:uiPriority w:val="99"/>
    <w:rsid w:val="00394FED"/>
    <w:pPr>
      <w:keepNext/>
      <w:keepLines/>
      <w:spacing w:before="68" w:line="270" w:lineRule="atLeast"/>
    </w:pPr>
    <w:rPr>
      <w:rFonts w:ascii="GuidePedagoTimes-Bold" w:hAnsi="GuidePedagoTimes-Bold" w:cs="GuidePedagoTimes-Bold"/>
      <w:b/>
      <w:bCs/>
      <w:sz w:val="23"/>
      <w:szCs w:val="23"/>
    </w:rPr>
  </w:style>
  <w:style w:type="paragraph" w:customStyle="1" w:styleId="05Applicationnum">
    <w:name w:val="05_Application_num"/>
    <w:basedOn w:val="Aucunstyledeparagraphe"/>
    <w:uiPriority w:val="99"/>
    <w:rsid w:val="00394FED"/>
    <w:pPr>
      <w:keepNext/>
      <w:keepLines/>
      <w:tabs>
        <w:tab w:val="left" w:pos="560"/>
      </w:tabs>
      <w:suppressAutoHyphens/>
      <w:spacing w:before="340" w:after="113" w:line="310" w:lineRule="atLeast"/>
      <w:ind w:left="567" w:hanging="567"/>
    </w:pPr>
    <w:rPr>
      <w:rFonts w:ascii="GuidePedagoNCond" w:hAnsi="GuidePedagoNCond" w:cs="GuidePedagoNCond"/>
      <w:spacing w:val="-1"/>
      <w:sz w:val="25"/>
      <w:szCs w:val="25"/>
    </w:rPr>
  </w:style>
  <w:style w:type="paragraph" w:customStyle="1" w:styleId="Tableautetiere">
    <w:name w:val="Tableau_tetiere"/>
    <w:basedOn w:val="Tableaucourant"/>
    <w:uiPriority w:val="99"/>
    <w:rsid w:val="00394FED"/>
    <w:pPr>
      <w:suppressAutoHyphens/>
    </w:pPr>
    <w:rPr>
      <w:rFonts w:ascii="GuidePedagoNCond-Bold" w:hAnsi="GuidePedagoNCond-Bold" w:cs="GuidePedagoNCond-Bold"/>
      <w:b/>
      <w:bCs/>
    </w:rPr>
  </w:style>
  <w:style w:type="paragraph" w:customStyle="1" w:styleId="Tableaulistepuce">
    <w:name w:val="Tableau_liste_puce"/>
    <w:basedOn w:val="Tableaucourant"/>
    <w:uiPriority w:val="99"/>
    <w:rsid w:val="00054C34"/>
    <w:pPr>
      <w:numPr>
        <w:numId w:val="1"/>
      </w:numPr>
      <w:tabs>
        <w:tab w:val="clear" w:pos="57"/>
        <w:tab w:val="left" w:pos="113"/>
      </w:tabs>
    </w:pPr>
  </w:style>
  <w:style w:type="paragraph" w:customStyle="1" w:styleId="Tableaulistetiret">
    <w:name w:val="Tableau_liste_tiret"/>
    <w:basedOn w:val="Tableaucourant"/>
    <w:uiPriority w:val="99"/>
    <w:rsid w:val="00054C34"/>
    <w:pPr>
      <w:numPr>
        <w:numId w:val="3"/>
      </w:numPr>
    </w:pPr>
  </w:style>
  <w:style w:type="character" w:customStyle="1" w:styleId="ChaptitrepourTC">
    <w:name w:val="Chap_titre_pour_TC"/>
    <w:uiPriority w:val="99"/>
    <w:rsid w:val="00394FED"/>
  </w:style>
  <w:style w:type="character" w:customStyle="1" w:styleId="i">
    <w:name w:val="i"/>
    <w:uiPriority w:val="99"/>
    <w:rsid w:val="00394FED"/>
    <w:rPr>
      <w:i/>
    </w:rPr>
  </w:style>
  <w:style w:type="character" w:customStyle="1" w:styleId="b">
    <w:name w:val="b"/>
    <w:uiPriority w:val="99"/>
    <w:rsid w:val="00394FED"/>
    <w:rPr>
      <w:b/>
    </w:rPr>
  </w:style>
  <w:style w:type="character" w:customStyle="1" w:styleId="pc">
    <w:name w:val="pc"/>
    <w:uiPriority w:val="99"/>
    <w:rsid w:val="00394FED"/>
    <w:rPr>
      <w:smallCaps/>
    </w:rPr>
  </w:style>
  <w:style w:type="character" w:customStyle="1" w:styleId="exp">
    <w:name w:val="exp"/>
    <w:uiPriority w:val="99"/>
    <w:rsid w:val="00394FED"/>
    <w:rPr>
      <w:vertAlign w:val="superscript"/>
    </w:rPr>
  </w:style>
  <w:style w:type="character" w:customStyle="1" w:styleId="ind">
    <w:name w:val="ind"/>
    <w:uiPriority w:val="99"/>
    <w:rsid w:val="00394FED"/>
    <w:rPr>
      <w:vertAlign w:val="subscript"/>
    </w:rPr>
  </w:style>
  <w:style w:type="character" w:customStyle="1" w:styleId="soul">
    <w:name w:val="soul"/>
    <w:uiPriority w:val="99"/>
    <w:rsid w:val="00394FED"/>
    <w:rPr>
      <w:u w:val="thick"/>
    </w:rPr>
  </w:style>
  <w:style w:type="character" w:customStyle="1" w:styleId="Symbol">
    <w:name w:val="Symbol"/>
    <w:uiPriority w:val="99"/>
    <w:rsid w:val="00394FED"/>
    <w:rPr>
      <w:rFonts w:ascii="Symbol" w:hAnsi="Symbol"/>
      <w:w w:val="100"/>
    </w:rPr>
  </w:style>
  <w:style w:type="character" w:customStyle="1" w:styleId="Chapnum">
    <w:name w:val="Chap_num"/>
    <w:uiPriority w:val="99"/>
    <w:rsid w:val="00394FED"/>
    <w:rPr>
      <w:rFonts w:ascii="GuidePedagoNCond-Bold" w:hAnsi="GuidePedagoNCond-Bold"/>
      <w:b/>
      <w:color w:val="000000"/>
      <w:spacing w:val="0"/>
      <w:sz w:val="100"/>
      <w:lang w:val="fr-FR"/>
    </w:rPr>
  </w:style>
  <w:style w:type="character" w:customStyle="1" w:styleId="Exercicenum">
    <w:name w:val="Exercice_num"/>
    <w:uiPriority w:val="99"/>
    <w:rsid w:val="00394FED"/>
    <w:rPr>
      <w:rFonts w:ascii="GuidePedagoNCond-Bold" w:hAnsi="GuidePedagoNCond-Bold"/>
      <w:b/>
      <w:color w:val="000000"/>
      <w:spacing w:val="0"/>
      <w:w w:val="100"/>
      <w:sz w:val="44"/>
      <w:u w:val="none"/>
      <w:vertAlign w:val="baseline"/>
      <w:lang w:val="fr-FR"/>
    </w:rPr>
  </w:style>
  <w:style w:type="character" w:customStyle="1" w:styleId="bi">
    <w:name w:val="bi"/>
    <w:basedOn w:val="b"/>
    <w:uiPriority w:val="1"/>
    <w:qFormat/>
    <w:rsid w:val="00EE26B7"/>
    <w:rPr>
      <w:b/>
      <w:i/>
    </w:rPr>
  </w:style>
  <w:style w:type="paragraph" w:customStyle="1" w:styleId="EncaTitre">
    <w:name w:val="Enca_Titre"/>
    <w:basedOn w:val="TTextecourant"/>
    <w:qFormat/>
    <w:rsid w:val="009215F2"/>
    <w:pPr>
      <w:suppressAutoHyphens/>
    </w:pPr>
    <w:rPr>
      <w:b/>
    </w:rPr>
  </w:style>
  <w:style w:type="paragraph" w:customStyle="1" w:styleId="EncaTxt">
    <w:name w:val="Enca_Txt"/>
    <w:basedOn w:val="TTextecourant"/>
    <w:qFormat/>
    <w:rsid w:val="009215F2"/>
    <w:pPr>
      <w:suppressAutoHyphens/>
    </w:pPr>
  </w:style>
  <w:style w:type="paragraph" w:customStyle="1" w:styleId="01Chapogras">
    <w:name w:val="01_Chapo_gras"/>
    <w:basedOn w:val="TTextecourant"/>
    <w:qFormat/>
    <w:rsid w:val="00B81F3B"/>
    <w:pPr>
      <w:spacing w:before="120"/>
    </w:pPr>
    <w:rPr>
      <w:rFonts w:ascii="Guide Pedago NCond" w:hAnsi="Guide Pedago NCond"/>
      <w:b/>
    </w:rPr>
  </w:style>
  <w:style w:type="paragraph" w:customStyle="1" w:styleId="01Chapo">
    <w:name w:val="01_Chapo"/>
    <w:basedOn w:val="TTextecourant"/>
    <w:qFormat/>
    <w:rsid w:val="00B81F3B"/>
    <w:pPr>
      <w:spacing w:before="120"/>
    </w:pPr>
    <w:rPr>
      <w:rFonts w:ascii="Guide Pedago NCond" w:hAnsi="Guide Pedago NCond"/>
    </w:rPr>
  </w:style>
  <w:style w:type="paragraph" w:styleId="En-tte">
    <w:name w:val="header"/>
    <w:basedOn w:val="Normal"/>
    <w:link w:val="En-tteCar"/>
    <w:uiPriority w:val="99"/>
    <w:unhideWhenUsed/>
    <w:rsid w:val="004016EA"/>
    <w:pPr>
      <w:tabs>
        <w:tab w:val="center" w:pos="4536"/>
        <w:tab w:val="right" w:pos="9072"/>
      </w:tabs>
    </w:pPr>
  </w:style>
  <w:style w:type="character" w:customStyle="1" w:styleId="En-tteCar">
    <w:name w:val="En-tête Car"/>
    <w:basedOn w:val="Policepardfaut"/>
    <w:link w:val="En-tte"/>
    <w:uiPriority w:val="99"/>
    <w:rsid w:val="004016EA"/>
    <w:rPr>
      <w:sz w:val="24"/>
      <w:szCs w:val="24"/>
    </w:rPr>
  </w:style>
  <w:style w:type="paragraph" w:styleId="Pieddepage">
    <w:name w:val="footer"/>
    <w:basedOn w:val="Normal"/>
    <w:link w:val="PieddepageCar"/>
    <w:uiPriority w:val="99"/>
    <w:unhideWhenUsed/>
    <w:rsid w:val="004016EA"/>
    <w:pPr>
      <w:tabs>
        <w:tab w:val="center" w:pos="4536"/>
        <w:tab w:val="right" w:pos="9072"/>
      </w:tabs>
    </w:pPr>
  </w:style>
  <w:style w:type="character" w:customStyle="1" w:styleId="PieddepageCar">
    <w:name w:val="Pied de page Car"/>
    <w:basedOn w:val="Policepardfaut"/>
    <w:link w:val="Pieddepage"/>
    <w:uiPriority w:val="99"/>
    <w:rsid w:val="004016EA"/>
    <w:rPr>
      <w:sz w:val="24"/>
      <w:szCs w:val="24"/>
    </w:rPr>
  </w:style>
  <w:style w:type="paragraph" w:styleId="Textedebulles">
    <w:name w:val="Balloon Text"/>
    <w:basedOn w:val="Normal"/>
    <w:link w:val="TextedebullesCar"/>
    <w:uiPriority w:val="99"/>
    <w:semiHidden/>
    <w:unhideWhenUsed/>
    <w:rsid w:val="004016EA"/>
    <w:rPr>
      <w:rFonts w:ascii="Tahoma" w:hAnsi="Tahoma" w:cs="Tahoma"/>
      <w:sz w:val="16"/>
      <w:szCs w:val="16"/>
    </w:rPr>
  </w:style>
  <w:style w:type="character" w:customStyle="1" w:styleId="TextedebullesCar">
    <w:name w:val="Texte de bulles Car"/>
    <w:basedOn w:val="Policepardfaut"/>
    <w:link w:val="Textedebulles"/>
    <w:uiPriority w:val="99"/>
    <w:semiHidden/>
    <w:rsid w:val="004016EA"/>
    <w:rPr>
      <w:rFonts w:ascii="Tahoma" w:hAnsi="Tahoma" w:cs="Tahoma"/>
      <w:sz w:val="16"/>
      <w:szCs w:val="16"/>
    </w:rPr>
  </w:style>
  <w:style w:type="paragraph" w:customStyle="1" w:styleId="Pieddepagedroite">
    <w:name w:val="Pied de page droite"/>
    <w:rsid w:val="00C20988"/>
    <w:pPr>
      <w:widowControl w:val="0"/>
      <w:tabs>
        <w:tab w:val="right" w:pos="10206"/>
      </w:tabs>
      <w:suppressAutoHyphens/>
      <w:autoSpaceDE w:val="0"/>
      <w:autoSpaceDN w:val="0"/>
      <w:adjustRightInd w:val="0"/>
      <w:spacing w:after="0" w:line="240" w:lineRule="atLeast"/>
    </w:pPr>
    <w:rPr>
      <w:rFonts w:ascii="Guide Pedago Arial" w:hAnsi="Guide Pedago Arial" w:cs="Guide Pedago Arial"/>
      <w:color w:val="000000"/>
      <w:sz w:val="17"/>
      <w:szCs w:val="17"/>
    </w:rPr>
  </w:style>
  <w:style w:type="character" w:customStyle="1" w:styleId="Bold">
    <w:name w:val="Bold"/>
    <w:rsid w:val="004016EA"/>
    <w:rPr>
      <w:b/>
      <w:bCs/>
    </w:rPr>
  </w:style>
  <w:style w:type="character" w:customStyle="1" w:styleId="Folio">
    <w:name w:val="Folio"/>
    <w:rsid w:val="004016EA"/>
    <w:rPr>
      <w:rFonts w:ascii="Guide Pedago NCond" w:hAnsi="Guide Pedago NCond" w:cs="Guide Pedago NCond"/>
      <w:b/>
      <w:bCs/>
      <w:color w:val="000000"/>
      <w:spacing w:val="0"/>
      <w:w w:val="100"/>
      <w:sz w:val="20"/>
      <w:szCs w:val="20"/>
      <w:u w:val="none"/>
      <w:vertAlign w:val="baseline"/>
      <w:lang w:val="fr-FR"/>
    </w:rPr>
  </w:style>
  <w:style w:type="paragraph" w:customStyle="1" w:styleId="Pieddepagegauche">
    <w:name w:val="Pied de page gauche"/>
    <w:rsid w:val="004016EA"/>
    <w:pPr>
      <w:widowControl w:val="0"/>
      <w:tabs>
        <w:tab w:val="right" w:pos="7340"/>
      </w:tabs>
      <w:suppressAutoHyphens/>
      <w:autoSpaceDE w:val="0"/>
      <w:autoSpaceDN w:val="0"/>
      <w:adjustRightInd w:val="0"/>
      <w:spacing w:after="0" w:line="200" w:lineRule="atLeast"/>
      <w:jc w:val="both"/>
    </w:pPr>
    <w:rPr>
      <w:rFonts w:ascii="Guide Pedago Arial" w:hAnsi="Guide Pedago Arial" w:cs="Guide Pedago Arial"/>
      <w:b/>
      <w:bCs/>
      <w:color w:val="000000"/>
      <w:w w:val="0"/>
      <w:sz w:val="16"/>
      <w:szCs w:val="16"/>
    </w:rPr>
  </w:style>
  <w:style w:type="table" w:styleId="Grilledutableau">
    <w:name w:val="Table Grid"/>
    <w:aliases w:val="Tableau 1re page"/>
    <w:basedOn w:val="TableauNormal"/>
    <w:uiPriority w:val="39"/>
    <w:rsid w:val="007C4DF0"/>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87FA5"/>
    <w:rPr>
      <w:rFonts w:ascii="Calibri Light" w:hAnsi="Calibri Light"/>
      <w:color w:val="2F5496"/>
      <w:sz w:val="32"/>
      <w:szCs w:val="32"/>
      <w:lang w:val="x-none" w:eastAsia="x-none"/>
    </w:rPr>
  </w:style>
  <w:style w:type="character" w:customStyle="1" w:styleId="Titre2Car">
    <w:name w:val="Titre 2 Car"/>
    <w:basedOn w:val="Policepardfaut"/>
    <w:link w:val="Titre2"/>
    <w:uiPriority w:val="9"/>
    <w:rsid w:val="00F87FA5"/>
    <w:rPr>
      <w:rFonts w:ascii="Calibri Light" w:hAnsi="Calibri Light"/>
      <w:color w:val="2F5496"/>
      <w:sz w:val="26"/>
      <w:szCs w:val="26"/>
      <w:lang w:val="x-none" w:eastAsia="x-none"/>
    </w:rPr>
  </w:style>
  <w:style w:type="character" w:customStyle="1" w:styleId="Titre3Car">
    <w:name w:val="Titre 3 Car"/>
    <w:basedOn w:val="Policepardfaut"/>
    <w:link w:val="Titre3"/>
    <w:uiPriority w:val="9"/>
    <w:rsid w:val="00F87FA5"/>
    <w:rPr>
      <w:rFonts w:ascii="Calibri Light" w:hAnsi="Calibri Light"/>
      <w:color w:val="1F3763"/>
      <w:sz w:val="24"/>
      <w:szCs w:val="24"/>
      <w:lang w:val="x-none" w:eastAsia="x-none"/>
    </w:rPr>
  </w:style>
  <w:style w:type="paragraph" w:styleId="Titre">
    <w:name w:val="Title"/>
    <w:basedOn w:val="Normal"/>
    <w:next w:val="Normal"/>
    <w:link w:val="TitreCar"/>
    <w:uiPriority w:val="10"/>
    <w:qFormat/>
    <w:rsid w:val="00F87FA5"/>
    <w:pPr>
      <w:contextualSpacing/>
    </w:pPr>
    <w:rPr>
      <w:rFonts w:ascii="Calibri Light" w:hAnsi="Calibri Light"/>
      <w:spacing w:val="-10"/>
      <w:kern w:val="28"/>
      <w:sz w:val="56"/>
      <w:szCs w:val="56"/>
      <w:lang w:val="x-none" w:eastAsia="x-none"/>
    </w:rPr>
  </w:style>
  <w:style w:type="character" w:customStyle="1" w:styleId="TitreCar">
    <w:name w:val="Titre Car"/>
    <w:basedOn w:val="Policepardfaut"/>
    <w:link w:val="Titre"/>
    <w:uiPriority w:val="10"/>
    <w:rsid w:val="00F87FA5"/>
    <w:rPr>
      <w:rFonts w:ascii="Calibri Light" w:hAnsi="Calibri Light"/>
      <w:spacing w:val="-10"/>
      <w:kern w:val="28"/>
      <w:sz w:val="56"/>
      <w:szCs w:val="56"/>
      <w:lang w:val="x-none" w:eastAsia="x-none"/>
    </w:rPr>
  </w:style>
  <w:style w:type="paragraph" w:styleId="Paragraphedeliste">
    <w:name w:val="List Paragraph"/>
    <w:basedOn w:val="Normal"/>
    <w:uiPriority w:val="34"/>
    <w:qFormat/>
    <w:rsid w:val="00F87FA5"/>
    <w:pPr>
      <w:spacing w:after="160" w:line="259"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F87FA5"/>
    <w:pPr>
      <w:spacing w:before="100" w:beforeAutospacing="1" w:after="100" w:afterAutospacing="1"/>
    </w:pPr>
  </w:style>
  <w:style w:type="character" w:styleId="Marquedecommentaire">
    <w:name w:val="annotation reference"/>
    <w:uiPriority w:val="99"/>
    <w:semiHidden/>
    <w:unhideWhenUsed/>
    <w:rsid w:val="00F87FA5"/>
    <w:rPr>
      <w:sz w:val="16"/>
      <w:szCs w:val="16"/>
    </w:rPr>
  </w:style>
  <w:style w:type="paragraph" w:styleId="Commentaire">
    <w:name w:val="annotation text"/>
    <w:basedOn w:val="Normal"/>
    <w:link w:val="CommentaireCar"/>
    <w:uiPriority w:val="99"/>
    <w:semiHidden/>
    <w:unhideWhenUsed/>
    <w:rsid w:val="00F87FA5"/>
    <w:pPr>
      <w:spacing w:after="200"/>
    </w:pPr>
    <w:rPr>
      <w:rFonts w:ascii="Calibri" w:eastAsia="Calibri" w:hAnsi="Calibri"/>
      <w:sz w:val="20"/>
      <w:szCs w:val="20"/>
      <w:lang w:val="x-none" w:eastAsia="x-none"/>
    </w:rPr>
  </w:style>
  <w:style w:type="character" w:customStyle="1" w:styleId="CommentaireCar">
    <w:name w:val="Commentaire Car"/>
    <w:basedOn w:val="Policepardfaut"/>
    <w:link w:val="Commentaire"/>
    <w:uiPriority w:val="99"/>
    <w:semiHidden/>
    <w:rsid w:val="00F87FA5"/>
    <w:rPr>
      <w:rFonts w:ascii="Calibri" w:eastAsia="Calibri" w:hAnsi="Calibri"/>
      <w:sz w:val="20"/>
      <w:szCs w:val="20"/>
      <w:lang w:val="x-none" w:eastAsia="x-none"/>
    </w:rPr>
  </w:style>
  <w:style w:type="character" w:styleId="Lienhypertexte">
    <w:name w:val="Hyperlink"/>
    <w:uiPriority w:val="99"/>
    <w:unhideWhenUsed/>
    <w:rsid w:val="00F87FA5"/>
    <w:rPr>
      <w:color w:val="0563C1"/>
      <w:u w:val="single"/>
    </w:rPr>
  </w:style>
  <w:style w:type="paragraph" w:styleId="Objetducommentaire">
    <w:name w:val="annotation subject"/>
    <w:basedOn w:val="Commentaire"/>
    <w:next w:val="Commentaire"/>
    <w:link w:val="ObjetducommentaireCar"/>
    <w:uiPriority w:val="99"/>
    <w:semiHidden/>
    <w:unhideWhenUsed/>
    <w:rsid w:val="00F87FA5"/>
    <w:pPr>
      <w:spacing w:after="160"/>
    </w:pPr>
    <w:rPr>
      <w:b/>
      <w:bCs/>
    </w:rPr>
  </w:style>
  <w:style w:type="character" w:customStyle="1" w:styleId="ObjetducommentaireCar">
    <w:name w:val="Objet du commentaire Car"/>
    <w:basedOn w:val="CommentaireCar"/>
    <w:link w:val="Objetducommentaire"/>
    <w:uiPriority w:val="99"/>
    <w:semiHidden/>
    <w:rsid w:val="00F87FA5"/>
    <w:rPr>
      <w:rFonts w:ascii="Calibri" w:eastAsia="Calibri" w:hAnsi="Calibri"/>
      <w:b/>
      <w:bCs/>
      <w:sz w:val="20"/>
      <w:szCs w:val="20"/>
      <w:lang w:val="x-none" w:eastAsia="x-none"/>
    </w:rPr>
  </w:style>
  <w:style w:type="character" w:customStyle="1" w:styleId="Mentionnonrsolue1">
    <w:name w:val="Mention non résolue1"/>
    <w:uiPriority w:val="99"/>
    <w:semiHidden/>
    <w:unhideWhenUsed/>
    <w:rsid w:val="00F87FA5"/>
    <w:rPr>
      <w:color w:val="808080"/>
      <w:shd w:val="clear" w:color="auto" w:fill="E6E6E6"/>
    </w:rPr>
  </w:style>
  <w:style w:type="character" w:customStyle="1" w:styleId="Mentionnonrsolue2">
    <w:name w:val="Mention non résolue2"/>
    <w:uiPriority w:val="99"/>
    <w:semiHidden/>
    <w:unhideWhenUsed/>
    <w:rsid w:val="00F87FA5"/>
    <w:rPr>
      <w:color w:val="808080"/>
      <w:shd w:val="clear" w:color="auto" w:fill="E6E6E6"/>
    </w:rPr>
  </w:style>
  <w:style w:type="character" w:styleId="Lienhypertextesuivivisit">
    <w:name w:val="FollowedHyperlink"/>
    <w:uiPriority w:val="99"/>
    <w:semiHidden/>
    <w:unhideWhenUsed/>
    <w:rsid w:val="00F87FA5"/>
    <w:rPr>
      <w:color w:val="954F72"/>
      <w:u w:val="single"/>
    </w:rPr>
  </w:style>
  <w:style w:type="character" w:customStyle="1" w:styleId="Mentionnonrsolue3">
    <w:name w:val="Mention non résolue3"/>
    <w:uiPriority w:val="99"/>
    <w:semiHidden/>
    <w:unhideWhenUsed/>
    <w:rsid w:val="00F87FA5"/>
    <w:rPr>
      <w:color w:val="605E5C"/>
      <w:shd w:val="clear" w:color="auto" w:fill="E1DFDD"/>
    </w:rPr>
  </w:style>
  <w:style w:type="paragraph" w:customStyle="1" w:styleId="Consigne">
    <w:name w:val="Consigne"/>
    <w:basedOn w:val="Normal"/>
    <w:qFormat/>
    <w:rsid w:val="00B85DDD"/>
    <w:pPr>
      <w:spacing w:after="200" w:line="276" w:lineRule="auto"/>
    </w:pPr>
    <w:rPr>
      <w:rFonts w:asciiTheme="minorHAnsi" w:eastAsiaTheme="minorHAnsi" w:hAnsiTheme="minorHAnsi" w:cstheme="minorBidi"/>
      <w:b/>
      <w:color w:val="000000" w:themeColor="text1"/>
      <w:sz w:val="22"/>
      <w:szCs w:val="22"/>
      <w:lang w:eastAsia="en-US"/>
    </w:rPr>
  </w:style>
  <w:style w:type="paragraph" w:customStyle="1" w:styleId="IDEXOQCM">
    <w:name w:val="ID EXO QCM"/>
    <w:basedOn w:val="Titre1"/>
    <w:next w:val="Rponseincorrecte"/>
    <w:qFormat/>
    <w:rsid w:val="00B85DDD"/>
    <w:pPr>
      <w:spacing w:before="600" w:line="360" w:lineRule="auto"/>
    </w:pPr>
    <w:rPr>
      <w:rFonts w:asciiTheme="minorHAnsi" w:eastAsiaTheme="majorEastAsia" w:hAnsiTheme="minorHAnsi" w:cstheme="majorBidi"/>
      <w:b/>
      <w:bCs/>
      <w:color w:val="E36C0A" w:themeColor="accent6" w:themeShade="BF"/>
      <w:sz w:val="24"/>
      <w:szCs w:val="28"/>
      <w:lang w:val="fr-FR" w:eastAsia="en-US"/>
    </w:rPr>
  </w:style>
  <w:style w:type="paragraph" w:customStyle="1" w:styleId="Rponsecorrecte">
    <w:name w:val="Réponse correcte"/>
    <w:basedOn w:val="Listepuces"/>
    <w:qFormat/>
    <w:rsid w:val="00B85DDD"/>
    <w:pPr>
      <w:numPr>
        <w:numId w:val="31"/>
      </w:numPr>
      <w:tabs>
        <w:tab w:val="num" w:pos="113"/>
        <w:tab w:val="num" w:pos="360"/>
      </w:tabs>
      <w:spacing w:before="120" w:after="120"/>
      <w:ind w:left="697" w:hanging="357"/>
      <w:contextualSpacing w:val="0"/>
    </w:pPr>
    <w:rPr>
      <w:rFonts w:asciiTheme="minorHAnsi" w:eastAsiaTheme="minorHAnsi" w:hAnsiTheme="minorHAnsi" w:cstheme="minorBidi"/>
      <w:sz w:val="22"/>
      <w:szCs w:val="22"/>
      <w:u w:val="single"/>
      <w:lang w:val="en-US" w:eastAsia="en-US"/>
    </w:rPr>
  </w:style>
  <w:style w:type="paragraph" w:customStyle="1" w:styleId="Rponseincorrecte">
    <w:name w:val="Réponse incorrecte"/>
    <w:basedOn w:val="Paragraphedeliste"/>
    <w:qFormat/>
    <w:rsid w:val="00B85DDD"/>
    <w:pPr>
      <w:numPr>
        <w:numId w:val="29"/>
      </w:numPr>
      <w:spacing w:before="120" w:after="120" w:line="240" w:lineRule="auto"/>
      <w:ind w:left="697" w:hanging="357"/>
      <w:contextualSpacing w:val="0"/>
    </w:pPr>
    <w:rPr>
      <w:rFonts w:asciiTheme="minorHAnsi" w:eastAsiaTheme="minorHAnsi" w:hAnsiTheme="minorHAnsi" w:cstheme="minorBidi"/>
    </w:rPr>
  </w:style>
  <w:style w:type="paragraph" w:customStyle="1" w:styleId="Icono">
    <w:name w:val="Icono"/>
    <w:basedOn w:val="Normal"/>
    <w:qFormat/>
    <w:rsid w:val="00B85DDD"/>
    <w:pPr>
      <w:numPr>
        <w:numId w:val="30"/>
      </w:numPr>
      <w:spacing w:after="200"/>
      <w:ind w:left="357" w:hanging="357"/>
    </w:pPr>
    <w:rPr>
      <w:rFonts w:asciiTheme="minorHAnsi" w:eastAsiaTheme="minorHAnsi" w:hAnsiTheme="minorHAnsi" w:cstheme="minorBidi"/>
      <w:color w:val="595959" w:themeColor="text1" w:themeTint="A6"/>
      <w:sz w:val="22"/>
      <w:szCs w:val="22"/>
      <w:lang w:eastAsia="en-US"/>
    </w:rPr>
  </w:style>
  <w:style w:type="paragraph" w:styleId="Listepuces">
    <w:name w:val="List Bullet"/>
    <w:basedOn w:val="Normal"/>
    <w:uiPriority w:val="99"/>
    <w:semiHidden/>
    <w:unhideWhenUsed/>
    <w:rsid w:val="00B85DDD"/>
    <w:pPr>
      <w:ind w:left="717"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arie_STMG_BTS\2016_2017\STMG_2016_2017\_Premi&#232;re_2016\feuilles_de_styles\Gabarit_GP_Foucher.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3E0FE-EBA0-43C5-8F1A-F445191E0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Gabarit_GP_Foucher</Template>
  <TotalTime>319</TotalTime>
  <Pages>8</Pages>
  <Words>2645</Words>
  <Characters>14551</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Hachette Livre</Company>
  <LinksUpToDate>false</LinksUpToDate>
  <CharactersWithSpaces>17162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SICAUD MARIE</dc:creator>
  <cp:lastModifiedBy>DEAN CECILE</cp:lastModifiedBy>
  <cp:revision>28</cp:revision>
  <cp:lastPrinted>2011-10-07T12:04:00Z</cp:lastPrinted>
  <dcterms:created xsi:type="dcterms:W3CDTF">2019-06-12T07:37:00Z</dcterms:created>
  <dcterms:modified xsi:type="dcterms:W3CDTF">2019-07-23T07:59:00Z</dcterms:modified>
</cp:coreProperties>
</file>

<file path=userCustomization/customUI.xml><?xml version="1.0" encoding="utf-8"?>
<mso:customUI xmlns:doc="http://schemas.microsoft.com/office/2006/01/customui/currentDocument" xmlns:mso="http://schemas.microsoft.com/office/2006/01/customui">
  <mso:ribbon>
    <mso:qat>
      <mso:documentControls>
        <mso:button idQ="doc:Foucher_StyleGP_1" visible="true" label="TemplateProject.MacrosMenuGP.Foucher_StyleGP" onAction="Foucher_StyleGP" imageMso="AppointmentColor1"/>
      </mso:documentControls>
    </mso:qat>
  </mso:ribbon>
</mso:customUI>
</file>