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45E1C" w14:textId="77777777" w:rsidR="008036FA" w:rsidRDefault="008036FA" w:rsidP="008036FA">
      <w:pPr>
        <w:pStyle w:val="GuidePedagogiqueTitre5Missionsnumros"/>
      </w:pPr>
      <w:r w:rsidRPr="003F1E46">
        <w:t>Exercice 1</w:t>
      </w:r>
    </w:p>
    <w:p w14:paraId="1FFB1C22" w14:textId="77777777" w:rsidR="008036FA" w:rsidRDefault="008036FA" w:rsidP="008036FA">
      <w:pPr>
        <w:pStyle w:val="GuidePedagogiqueTitre6Consignes"/>
        <w:rPr>
          <w:u w:val="single"/>
        </w:rPr>
      </w:pPr>
      <w:r>
        <w:t>&gt; Identifiez les différents partenaires de cette unité commerciale et présentez un exemple de flux réel et un exemple de flux monétaire pour chacun d’eux.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536"/>
        <w:gridCol w:w="2801"/>
      </w:tblGrid>
      <w:tr w:rsidR="008036FA" w:rsidRPr="00C244C5" w14:paraId="4E951286" w14:textId="77777777" w:rsidTr="00597E46">
        <w:tc>
          <w:tcPr>
            <w:tcW w:w="1951" w:type="dxa"/>
            <w:vMerge w:val="restart"/>
            <w:vAlign w:val="center"/>
          </w:tcPr>
          <w:p w14:paraId="7F731485" w14:textId="77777777" w:rsidR="008036FA" w:rsidRPr="00C6529E" w:rsidRDefault="008036FA" w:rsidP="00597E46">
            <w:pPr>
              <w:pStyle w:val="GuidePedagogiqueTitre7Rponses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P</w:t>
            </w:r>
            <w:r w:rsidRPr="00C6529E">
              <w:rPr>
                <w:b/>
              </w:rPr>
              <w:t>artenaires de l’UC</w:t>
            </w:r>
          </w:p>
        </w:tc>
        <w:tc>
          <w:tcPr>
            <w:tcW w:w="7337" w:type="dxa"/>
            <w:gridSpan w:val="2"/>
            <w:vAlign w:val="center"/>
          </w:tcPr>
          <w:p w14:paraId="7CE74027" w14:textId="77777777" w:rsidR="008036FA" w:rsidRPr="00C6529E" w:rsidRDefault="008036FA" w:rsidP="00597E46">
            <w:pPr>
              <w:pStyle w:val="GuidePedagogiqueTitre7Rponses"/>
              <w:jc w:val="center"/>
              <w:rPr>
                <w:b/>
              </w:rPr>
            </w:pPr>
            <w:r w:rsidRPr="00C6529E">
              <w:rPr>
                <w:b/>
              </w:rPr>
              <w:t>Exemples de flux</w:t>
            </w:r>
          </w:p>
        </w:tc>
      </w:tr>
      <w:tr w:rsidR="008036FA" w14:paraId="66861EAD" w14:textId="77777777" w:rsidTr="00597E46">
        <w:tc>
          <w:tcPr>
            <w:tcW w:w="1951" w:type="dxa"/>
            <w:vMerge/>
            <w:vAlign w:val="center"/>
          </w:tcPr>
          <w:p w14:paraId="47F49059" w14:textId="77777777" w:rsidR="008036FA" w:rsidRPr="00C6529E" w:rsidRDefault="008036FA" w:rsidP="00597E46">
            <w:pPr>
              <w:pStyle w:val="GuidePedagogiqueTitre7Rponses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0C526EDE" w14:textId="77777777" w:rsidR="008036FA" w:rsidRPr="00C6529E" w:rsidRDefault="008036FA" w:rsidP="00597E46">
            <w:pPr>
              <w:pStyle w:val="GuidePedagogiqueTitre7Rponses"/>
              <w:jc w:val="center"/>
              <w:rPr>
                <w:rFonts w:eastAsiaTheme="majorEastAsia"/>
                <w:b/>
              </w:rPr>
            </w:pPr>
            <w:r w:rsidRPr="00C6529E">
              <w:rPr>
                <w:b/>
              </w:rPr>
              <w:t>Flux réels</w:t>
            </w:r>
          </w:p>
        </w:tc>
        <w:tc>
          <w:tcPr>
            <w:tcW w:w="2801" w:type="dxa"/>
            <w:vAlign w:val="center"/>
          </w:tcPr>
          <w:p w14:paraId="5173E788" w14:textId="77777777" w:rsidR="008036FA" w:rsidRPr="00C6529E" w:rsidRDefault="008036FA" w:rsidP="00597E46">
            <w:pPr>
              <w:pStyle w:val="GuidePedagogiqueTitre7Rponses"/>
              <w:jc w:val="center"/>
              <w:rPr>
                <w:rFonts w:eastAsiaTheme="majorEastAsia"/>
                <w:b/>
              </w:rPr>
            </w:pPr>
            <w:r w:rsidRPr="00C6529E">
              <w:rPr>
                <w:b/>
              </w:rPr>
              <w:t>Flux monétaires</w:t>
            </w:r>
          </w:p>
        </w:tc>
      </w:tr>
      <w:tr w:rsidR="008036FA" w14:paraId="7F27E8DC" w14:textId="77777777" w:rsidTr="00597E46">
        <w:tc>
          <w:tcPr>
            <w:tcW w:w="1951" w:type="dxa"/>
            <w:vAlign w:val="center"/>
          </w:tcPr>
          <w:p w14:paraId="4253BD9F" w14:textId="77777777" w:rsidR="008036FA" w:rsidRPr="006A2455" w:rsidRDefault="008036FA" w:rsidP="00597E46">
            <w:pPr>
              <w:pStyle w:val="GuidePedagogiqueTitre7Rpons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Fournisseurs de marchandises</w:t>
            </w:r>
          </w:p>
        </w:tc>
        <w:tc>
          <w:tcPr>
            <w:tcW w:w="4536" w:type="dxa"/>
            <w:vAlign w:val="center"/>
          </w:tcPr>
          <w:p w14:paraId="219E5062" w14:textId="77777777" w:rsidR="008036FA" w:rsidRDefault="008036FA" w:rsidP="00597E46">
            <w:pPr>
              <w:pStyle w:val="GuidePedagogiqueTitre7Rponses"/>
              <w:rPr>
                <w:color w:val="000000" w:themeColor="text1"/>
              </w:rPr>
            </w:pPr>
            <w:r>
              <w:rPr>
                <w:rFonts w:eastAsiaTheme="majorEastAsia"/>
              </w:rPr>
              <w:t>Achats de produits de la ferme et de produits locaux</w:t>
            </w:r>
          </w:p>
        </w:tc>
        <w:tc>
          <w:tcPr>
            <w:tcW w:w="2801" w:type="dxa"/>
            <w:vAlign w:val="center"/>
          </w:tcPr>
          <w:p w14:paraId="517E8E5A" w14:textId="77777777" w:rsidR="008036FA" w:rsidRDefault="008036FA" w:rsidP="00597E46">
            <w:pPr>
              <w:pStyle w:val="GuidePedagogiqueTitre7Rponses"/>
              <w:rPr>
                <w:rFonts w:eastAsiaTheme="majorEastAsia"/>
              </w:rPr>
            </w:pPr>
            <w:r>
              <w:rPr>
                <w:rFonts w:eastAsiaTheme="majorEastAsia"/>
              </w:rPr>
              <w:t>Paiement des fournisseurs de marchandises</w:t>
            </w:r>
          </w:p>
        </w:tc>
      </w:tr>
      <w:tr w:rsidR="008036FA" w14:paraId="5734BA5B" w14:textId="77777777" w:rsidTr="00597E46">
        <w:tc>
          <w:tcPr>
            <w:tcW w:w="1951" w:type="dxa"/>
            <w:vAlign w:val="center"/>
          </w:tcPr>
          <w:p w14:paraId="391D3BC7" w14:textId="77777777" w:rsidR="008036FA" w:rsidRPr="0008712D" w:rsidRDefault="008036FA" w:rsidP="00597E46">
            <w:pPr>
              <w:pStyle w:val="GuidePedagogiqueTitre7Rpons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Fournisseurs de fournitures et de consommables</w:t>
            </w:r>
          </w:p>
        </w:tc>
        <w:tc>
          <w:tcPr>
            <w:tcW w:w="4536" w:type="dxa"/>
            <w:vAlign w:val="center"/>
          </w:tcPr>
          <w:p w14:paraId="318B24E0" w14:textId="77777777" w:rsidR="008036FA" w:rsidRPr="0008712D" w:rsidRDefault="008036FA" w:rsidP="00597E46">
            <w:pPr>
              <w:pStyle w:val="GuidePedagogiqueTitre7Rponses"/>
            </w:pPr>
            <w:r>
              <w:rPr>
                <w:color w:val="000000" w:themeColor="text1"/>
              </w:rPr>
              <w:t>Achats d’emballages, de fournitures informatiques, de papeterie, d</w:t>
            </w:r>
            <w:r>
              <w:rPr>
                <w:rFonts w:hint="eastAsia"/>
                <w:color w:val="000000" w:themeColor="text1"/>
              </w:rPr>
              <w:t>’</w:t>
            </w:r>
            <w:r w:rsidRPr="00864AA4">
              <w:t xml:space="preserve">énergie </w:t>
            </w:r>
            <w:r>
              <w:t>(</w:t>
            </w:r>
            <w:r w:rsidRPr="00864AA4">
              <w:t>électricité, gaz</w:t>
            </w:r>
            <w:r>
              <w:t>…)</w:t>
            </w:r>
          </w:p>
        </w:tc>
        <w:tc>
          <w:tcPr>
            <w:tcW w:w="2801" w:type="dxa"/>
            <w:vAlign w:val="center"/>
          </w:tcPr>
          <w:p w14:paraId="42126836" w14:textId="77777777" w:rsidR="008036FA" w:rsidRDefault="008036FA" w:rsidP="00597E46">
            <w:pPr>
              <w:pStyle w:val="GuidePedagogiqueTitre7Rponses"/>
              <w:rPr>
                <w:rFonts w:eastAsiaTheme="majorEastAsia"/>
              </w:rPr>
            </w:pPr>
            <w:r>
              <w:rPr>
                <w:rFonts w:eastAsiaTheme="majorEastAsia"/>
              </w:rPr>
              <w:t>Paiement des fournisseurs de consommables</w:t>
            </w:r>
          </w:p>
        </w:tc>
      </w:tr>
      <w:tr w:rsidR="008036FA" w14:paraId="39A7E2A5" w14:textId="77777777" w:rsidTr="00597E46">
        <w:tc>
          <w:tcPr>
            <w:tcW w:w="1951" w:type="dxa"/>
            <w:vAlign w:val="center"/>
          </w:tcPr>
          <w:p w14:paraId="1CDE0DA0" w14:textId="77777777" w:rsidR="008036FA" w:rsidRDefault="008036FA" w:rsidP="00597E46">
            <w:pPr>
              <w:pStyle w:val="GuidePedagogiqueTitre7Rpons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Fournisseurs de biens d’équipement</w:t>
            </w:r>
          </w:p>
        </w:tc>
        <w:tc>
          <w:tcPr>
            <w:tcW w:w="4536" w:type="dxa"/>
            <w:vAlign w:val="center"/>
          </w:tcPr>
          <w:p w14:paraId="0DBD816E" w14:textId="77777777" w:rsidR="008036FA" w:rsidRDefault="008036FA" w:rsidP="00597E46">
            <w:pPr>
              <w:pStyle w:val="GuidePedagogiqueTitre7Rpons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Achats de biens durables (immobilisations) nécessaires à l’agrandissement du magasin : constructions, mobilier</w:t>
            </w:r>
          </w:p>
        </w:tc>
        <w:tc>
          <w:tcPr>
            <w:tcW w:w="2801" w:type="dxa"/>
            <w:vAlign w:val="center"/>
          </w:tcPr>
          <w:p w14:paraId="3A1B0552" w14:textId="77777777" w:rsidR="008036FA" w:rsidRDefault="008036FA" w:rsidP="00597E46">
            <w:pPr>
              <w:pStyle w:val="GuidePedagogiqueTitre7Rponses"/>
              <w:rPr>
                <w:rFonts w:eastAsiaTheme="majorEastAsia"/>
              </w:rPr>
            </w:pPr>
            <w:r>
              <w:rPr>
                <w:rFonts w:eastAsiaTheme="majorEastAsia"/>
              </w:rPr>
              <w:t>Paiement des fournisseurs d’immobilisations</w:t>
            </w:r>
          </w:p>
        </w:tc>
      </w:tr>
      <w:tr w:rsidR="008036FA" w14:paraId="4A555A66" w14:textId="77777777" w:rsidTr="00597E46">
        <w:tc>
          <w:tcPr>
            <w:tcW w:w="1951" w:type="dxa"/>
            <w:vAlign w:val="center"/>
          </w:tcPr>
          <w:p w14:paraId="78AEB532" w14:textId="77777777" w:rsidR="008036FA" w:rsidRDefault="008036FA" w:rsidP="00597E46">
            <w:pPr>
              <w:pStyle w:val="GuidePedagogiqueTitre7Rpons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Prestataires de services</w:t>
            </w:r>
          </w:p>
        </w:tc>
        <w:tc>
          <w:tcPr>
            <w:tcW w:w="4536" w:type="dxa"/>
            <w:vAlign w:val="center"/>
          </w:tcPr>
          <w:p w14:paraId="616A3686" w14:textId="77777777" w:rsidR="008036FA" w:rsidRPr="008A35FC" w:rsidRDefault="008036FA" w:rsidP="00597E46">
            <w:pPr>
              <w:pStyle w:val="GuidePedagogiqueTitre7Rponses"/>
              <w:rPr>
                <w:color w:val="000000" w:themeColor="text1"/>
              </w:rPr>
            </w:pPr>
            <w:r w:rsidRPr="005D3EE5">
              <w:t xml:space="preserve">• </w:t>
            </w:r>
            <w:r>
              <w:rPr>
                <w:color w:val="000000" w:themeColor="text1"/>
              </w:rPr>
              <w:t>Prestation de services par</w:t>
            </w:r>
            <w:r w:rsidRPr="008A35FC">
              <w:rPr>
                <w:color w:val="000000" w:themeColor="text1"/>
              </w:rPr>
              <w:t xml:space="preserve"> l’agence </w:t>
            </w:r>
            <w:r w:rsidRPr="008A35FC">
              <w:t xml:space="preserve">de création </w:t>
            </w:r>
            <w:r>
              <w:t>W</w:t>
            </w:r>
            <w:r w:rsidRPr="008A35FC">
              <w:t>eb</w:t>
            </w:r>
          </w:p>
          <w:p w14:paraId="42BA9A28" w14:textId="77777777" w:rsidR="008036FA" w:rsidRPr="008A35FC" w:rsidRDefault="008036FA" w:rsidP="00597E46">
            <w:pPr>
              <w:pStyle w:val="GuidePedagogiqueTitre7Rponses"/>
              <w:rPr>
                <w:color w:val="000000" w:themeColor="text1"/>
              </w:rPr>
            </w:pPr>
            <w:r w:rsidRPr="005D3EE5">
              <w:t xml:space="preserve">• </w:t>
            </w:r>
            <w:r w:rsidRPr="008A35FC">
              <w:rPr>
                <w:color w:val="000000" w:themeColor="text1"/>
              </w:rPr>
              <w:t xml:space="preserve">Autres exemples : </w:t>
            </w:r>
            <w:r>
              <w:rPr>
                <w:color w:val="000000" w:themeColor="text1"/>
              </w:rPr>
              <w:t>t</w:t>
            </w:r>
            <w:r w:rsidRPr="008A35FC">
              <w:rPr>
                <w:color w:val="000000" w:themeColor="text1"/>
              </w:rPr>
              <w:t>éléphonie, assurances, entretien, communication</w:t>
            </w:r>
            <w:r>
              <w:rPr>
                <w:color w:val="000000" w:themeColor="text1"/>
              </w:rPr>
              <w:t>...</w:t>
            </w:r>
          </w:p>
        </w:tc>
        <w:tc>
          <w:tcPr>
            <w:tcW w:w="2801" w:type="dxa"/>
            <w:vAlign w:val="center"/>
          </w:tcPr>
          <w:p w14:paraId="0BB8C474" w14:textId="77777777" w:rsidR="008036FA" w:rsidRPr="0008712D" w:rsidRDefault="008036FA" w:rsidP="00597E46">
            <w:pPr>
              <w:pStyle w:val="GuidePedagogiqueTitre7Rponses"/>
              <w:rPr>
                <w:color w:val="000000" w:themeColor="text1"/>
              </w:rPr>
            </w:pPr>
            <w:r>
              <w:rPr>
                <w:rFonts w:eastAsiaTheme="majorEastAsia"/>
              </w:rPr>
              <w:t>Paiement des fournisseurs de services</w:t>
            </w:r>
          </w:p>
        </w:tc>
      </w:tr>
      <w:tr w:rsidR="008036FA" w14:paraId="513FAF52" w14:textId="77777777" w:rsidTr="00597E46">
        <w:tc>
          <w:tcPr>
            <w:tcW w:w="1951" w:type="dxa"/>
            <w:vAlign w:val="center"/>
          </w:tcPr>
          <w:p w14:paraId="4779E71A" w14:textId="77777777" w:rsidR="008036FA" w:rsidRPr="0008712D" w:rsidRDefault="008036FA" w:rsidP="00597E46">
            <w:pPr>
              <w:pStyle w:val="GuidePedagogiqueTitre7Rponses"/>
              <w:rPr>
                <w:rFonts w:asciiTheme="majorHAnsi" w:eastAsiaTheme="majorEastAsia" w:hAnsiTheme="majorHAnsi" w:cstheme="majorBidi"/>
                <w:b/>
                <w:color w:val="4472C4" w:themeColor="accent1"/>
              </w:rPr>
            </w:pPr>
            <w:r>
              <w:rPr>
                <w:color w:val="000000" w:themeColor="text1"/>
              </w:rPr>
              <w:t>Partenaires institutionnels</w:t>
            </w:r>
          </w:p>
        </w:tc>
        <w:tc>
          <w:tcPr>
            <w:tcW w:w="4536" w:type="dxa"/>
            <w:vAlign w:val="center"/>
          </w:tcPr>
          <w:p w14:paraId="2AA3A770" w14:textId="77777777" w:rsidR="008036FA" w:rsidRDefault="008036FA" w:rsidP="00597E46">
            <w:pPr>
              <w:pStyle w:val="GuidePedagogiqueTitre7Rponses"/>
              <w:rPr>
                <w:color w:val="000000" w:themeColor="text1"/>
              </w:rPr>
            </w:pPr>
            <w:r w:rsidRPr="005D3EE5">
              <w:t xml:space="preserve">• </w:t>
            </w:r>
            <w:r>
              <w:rPr>
                <w:color w:val="000000" w:themeColor="text1"/>
              </w:rPr>
              <w:t>Services rendus par les partenaires locaux : mairies des localités pour vendre sur les marchés</w:t>
            </w:r>
          </w:p>
          <w:p w14:paraId="635B491B" w14:textId="77777777" w:rsidR="008036FA" w:rsidRDefault="008036FA" w:rsidP="00597E46">
            <w:pPr>
              <w:pStyle w:val="GuidePedagogiqueTitre7Rponses"/>
              <w:rPr>
                <w:color w:val="000000" w:themeColor="text1"/>
              </w:rPr>
            </w:pPr>
            <w:r w:rsidRPr="005D3EE5">
              <w:t xml:space="preserve">• </w:t>
            </w:r>
            <w:r w:rsidRPr="008A35FC">
              <w:rPr>
                <w:color w:val="000000" w:themeColor="text1"/>
              </w:rPr>
              <w:t xml:space="preserve">Autres exemples : </w:t>
            </w:r>
            <w:r>
              <w:rPr>
                <w:color w:val="000000" w:themeColor="text1"/>
              </w:rPr>
              <w:t>État, organismes sociaux...</w:t>
            </w:r>
          </w:p>
        </w:tc>
        <w:tc>
          <w:tcPr>
            <w:tcW w:w="2801" w:type="dxa"/>
            <w:vAlign w:val="center"/>
          </w:tcPr>
          <w:p w14:paraId="40106D58" w14:textId="77777777" w:rsidR="008036FA" w:rsidRDefault="008036FA" w:rsidP="00597E46">
            <w:pPr>
              <w:pStyle w:val="GuidePedagogiqueTitre7Rponses"/>
              <w:rPr>
                <w:color w:val="000000" w:themeColor="text1"/>
              </w:rPr>
            </w:pPr>
            <w:r>
              <w:rPr>
                <w:rFonts w:eastAsiaTheme="majorEastAsia"/>
              </w:rPr>
              <w:t xml:space="preserve">Paiement </w:t>
            </w:r>
            <w:r>
              <w:rPr>
                <w:color w:val="000000" w:themeColor="text1"/>
              </w:rPr>
              <w:t>des partenaires institutionnels (cotisations, impôts, taxes en contrepartie des</w:t>
            </w:r>
            <w:r>
              <w:rPr>
                <w:rFonts w:eastAsiaTheme="majorEastAsia"/>
              </w:rPr>
              <w:t xml:space="preserve"> services...)</w:t>
            </w:r>
          </w:p>
        </w:tc>
      </w:tr>
      <w:tr w:rsidR="008036FA" w14:paraId="0C160152" w14:textId="77777777" w:rsidTr="00597E46">
        <w:tc>
          <w:tcPr>
            <w:tcW w:w="1951" w:type="dxa"/>
            <w:vAlign w:val="center"/>
          </w:tcPr>
          <w:p w14:paraId="1335BB47" w14:textId="77777777" w:rsidR="008036FA" w:rsidRPr="0008712D" w:rsidRDefault="008036FA" w:rsidP="00597E46">
            <w:pPr>
              <w:pStyle w:val="GuidePedagogiqueTitre7Rponses"/>
            </w:pPr>
            <w:r>
              <w:rPr>
                <w:color w:val="000000" w:themeColor="text1"/>
              </w:rPr>
              <w:t>Personnel de l’unité commerciale</w:t>
            </w:r>
          </w:p>
        </w:tc>
        <w:tc>
          <w:tcPr>
            <w:tcW w:w="4536" w:type="dxa"/>
            <w:vAlign w:val="center"/>
          </w:tcPr>
          <w:p w14:paraId="0F5E4825" w14:textId="77777777" w:rsidR="008036FA" w:rsidRDefault="008036FA" w:rsidP="00597E46">
            <w:pPr>
              <w:pStyle w:val="GuidePedagogiqueTitre7Rpons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Travail fourni par les salariés</w:t>
            </w:r>
          </w:p>
        </w:tc>
        <w:tc>
          <w:tcPr>
            <w:tcW w:w="2801" w:type="dxa"/>
            <w:vAlign w:val="center"/>
          </w:tcPr>
          <w:p w14:paraId="2F027382" w14:textId="77777777" w:rsidR="008036FA" w:rsidRDefault="008036FA" w:rsidP="00597E46">
            <w:pPr>
              <w:pStyle w:val="GuidePedagogiqueTitre7Rponses"/>
              <w:rPr>
                <w:color w:val="000000" w:themeColor="text1"/>
              </w:rPr>
            </w:pPr>
            <w:r>
              <w:rPr>
                <w:rFonts w:eastAsiaTheme="majorEastAsia"/>
              </w:rPr>
              <w:t xml:space="preserve">Paiement </w:t>
            </w:r>
            <w:r>
              <w:rPr>
                <w:color w:val="000000" w:themeColor="text1"/>
              </w:rPr>
              <w:t>des salaires</w:t>
            </w:r>
          </w:p>
        </w:tc>
      </w:tr>
      <w:tr w:rsidR="008036FA" w14:paraId="4DAE9EC4" w14:textId="77777777" w:rsidTr="00597E46">
        <w:tc>
          <w:tcPr>
            <w:tcW w:w="1951" w:type="dxa"/>
            <w:vAlign w:val="center"/>
          </w:tcPr>
          <w:p w14:paraId="433D5804" w14:textId="77777777" w:rsidR="008036FA" w:rsidRPr="0008712D" w:rsidRDefault="008036FA" w:rsidP="00597E46">
            <w:pPr>
              <w:pStyle w:val="GuidePedagogiqueTitre7Rponses"/>
              <w:rPr>
                <w:rFonts w:asciiTheme="majorHAnsi" w:eastAsiaTheme="majorEastAsia" w:hAnsiTheme="majorHAnsi" w:cstheme="majorBidi"/>
                <w:b/>
                <w:color w:val="4472C4" w:themeColor="accent1"/>
              </w:rPr>
            </w:pPr>
            <w:r>
              <w:rPr>
                <w:color w:val="000000" w:themeColor="text1"/>
              </w:rPr>
              <w:t>Apporteurs de capitaux et établissements bancaires</w:t>
            </w:r>
          </w:p>
        </w:tc>
        <w:tc>
          <w:tcPr>
            <w:tcW w:w="4536" w:type="dxa"/>
            <w:vAlign w:val="center"/>
          </w:tcPr>
          <w:p w14:paraId="23667842" w14:textId="77777777" w:rsidR="008036FA" w:rsidRDefault="008036FA" w:rsidP="00597E46">
            <w:pPr>
              <w:pStyle w:val="GuidePedagogiqueTitre7Rponses"/>
              <w:rPr>
                <w:color w:val="000000" w:themeColor="text1"/>
              </w:rPr>
            </w:pPr>
            <w:r w:rsidRPr="005D3EE5">
              <w:t xml:space="preserve">• </w:t>
            </w:r>
            <w:r>
              <w:rPr>
                <w:color w:val="000000" w:themeColor="text1"/>
              </w:rPr>
              <w:t>Emprunts obtenus auprès de la Banque Populaire et du Crédit Agricole</w:t>
            </w:r>
          </w:p>
          <w:p w14:paraId="2D20378C" w14:textId="77777777" w:rsidR="008036FA" w:rsidRDefault="008036FA" w:rsidP="00597E46">
            <w:pPr>
              <w:pStyle w:val="GuidePedagogiqueTitre7Rponses"/>
              <w:rPr>
                <w:color w:val="000000" w:themeColor="text1"/>
              </w:rPr>
            </w:pPr>
            <w:r w:rsidRPr="005D3EE5">
              <w:t xml:space="preserve">• </w:t>
            </w:r>
            <w:r>
              <w:rPr>
                <w:color w:val="000000" w:themeColor="text1"/>
              </w:rPr>
              <w:t>Apports en capitaux pour créer et développer l’entreprise</w:t>
            </w:r>
          </w:p>
        </w:tc>
        <w:tc>
          <w:tcPr>
            <w:tcW w:w="2801" w:type="dxa"/>
            <w:vAlign w:val="center"/>
          </w:tcPr>
          <w:p w14:paraId="47FFB8D8" w14:textId="77777777" w:rsidR="008036FA" w:rsidRDefault="008036FA" w:rsidP="00597E46">
            <w:pPr>
              <w:pStyle w:val="GuidePedagogiqueTitre7Rponses"/>
              <w:rPr>
                <w:color w:val="000000" w:themeColor="text1"/>
              </w:rPr>
            </w:pPr>
            <w:r w:rsidRPr="005D3EE5">
              <w:t xml:space="preserve">• </w:t>
            </w:r>
            <w:r>
              <w:rPr>
                <w:color w:val="000000" w:themeColor="text1"/>
              </w:rPr>
              <w:t>Remboursement des emprunts et paiement des intérêts</w:t>
            </w:r>
          </w:p>
          <w:p w14:paraId="38631F25" w14:textId="77777777" w:rsidR="008036FA" w:rsidRDefault="008036FA" w:rsidP="00597E46">
            <w:pPr>
              <w:pStyle w:val="GuidePedagogiqueTitre7Rponses"/>
              <w:rPr>
                <w:color w:val="000000" w:themeColor="text1"/>
              </w:rPr>
            </w:pPr>
            <w:r w:rsidRPr="005D3EE5">
              <w:t xml:space="preserve">• </w:t>
            </w:r>
            <w:r>
              <w:rPr>
                <w:color w:val="000000" w:themeColor="text1"/>
              </w:rPr>
              <w:t>Distribution des bénéfices/dividendes</w:t>
            </w:r>
          </w:p>
        </w:tc>
      </w:tr>
      <w:tr w:rsidR="008036FA" w14:paraId="74D5D19D" w14:textId="77777777" w:rsidTr="00597E46">
        <w:tc>
          <w:tcPr>
            <w:tcW w:w="1951" w:type="dxa"/>
            <w:vAlign w:val="center"/>
          </w:tcPr>
          <w:p w14:paraId="3F0D9441" w14:textId="77777777" w:rsidR="008036FA" w:rsidRPr="00C6529E" w:rsidRDefault="008036FA" w:rsidP="00597E46">
            <w:pPr>
              <w:pStyle w:val="GuidePedagogiqueTitre7Rpons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Clients</w:t>
            </w:r>
          </w:p>
        </w:tc>
        <w:tc>
          <w:tcPr>
            <w:tcW w:w="4536" w:type="dxa"/>
            <w:vAlign w:val="center"/>
          </w:tcPr>
          <w:p w14:paraId="06FD4D4B" w14:textId="77777777" w:rsidR="008036FA" w:rsidRDefault="008036FA" w:rsidP="00597E46">
            <w:pPr>
              <w:pStyle w:val="GuidePedagogiqueTitre7Rponses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Ventes de marchandises aux particuliers, aux </w:t>
            </w:r>
            <w:r w:rsidRPr="00C77F0B">
              <w:rPr>
                <w:color w:val="000000" w:themeColor="text1"/>
              </w:rPr>
              <w:t xml:space="preserve">détaillants, grossistes, restaurateurs, </w:t>
            </w:r>
            <w:r>
              <w:rPr>
                <w:color w:val="000000" w:themeColor="text1"/>
              </w:rPr>
              <w:t>collectivités,</w:t>
            </w:r>
            <w:r w:rsidRPr="00C77F0B">
              <w:rPr>
                <w:color w:val="000000" w:themeColor="text1"/>
              </w:rPr>
              <w:t xml:space="preserve"> GMS</w:t>
            </w:r>
          </w:p>
        </w:tc>
        <w:tc>
          <w:tcPr>
            <w:tcW w:w="2801" w:type="dxa"/>
            <w:vAlign w:val="center"/>
          </w:tcPr>
          <w:p w14:paraId="3E8AFB41" w14:textId="77777777" w:rsidR="008036FA" w:rsidRDefault="008036FA" w:rsidP="00597E46">
            <w:pPr>
              <w:pStyle w:val="GuidePedagogiqueTitre7Rpons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Encaissements des ventes</w:t>
            </w:r>
          </w:p>
        </w:tc>
      </w:tr>
    </w:tbl>
    <w:p w14:paraId="76A8EF79" w14:textId="02AB1FA9" w:rsidR="006E0249" w:rsidRPr="008036FA" w:rsidRDefault="006E0249" w:rsidP="008036FA">
      <w:pPr>
        <w:spacing w:after="200" w:line="2" w:lineRule="auto"/>
        <w:rPr>
          <w:rFonts w:ascii="GuidePedagogique" w:eastAsiaTheme="majorEastAsia" w:hAnsi="GuidePedagogique" w:cs="GuidePedagoNCond"/>
          <w:color w:val="000000"/>
          <w:sz w:val="25"/>
          <w:szCs w:val="25"/>
        </w:rPr>
      </w:pPr>
    </w:p>
    <w:sectPr w:rsidR="006E0249" w:rsidRPr="0080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idePedagogique">
    <w:altName w:val="Times New Roman"/>
    <w:panose1 w:val="00000000000000000000"/>
    <w:charset w:val="00"/>
    <w:family w:val="roman"/>
    <w:notTrueType/>
    <w:pitch w:val="default"/>
  </w:font>
  <w:font w:name="GuidePedagoN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Time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FA"/>
    <w:rsid w:val="006E0249"/>
    <w:rsid w:val="0080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CE20"/>
  <w15:chartTrackingRefBased/>
  <w15:docId w15:val="{623AA825-4550-4F05-ABAD-B9DFC9D3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aliases w:val="Tableau 1re page"/>
    <w:basedOn w:val="TableauNormal"/>
    <w:uiPriority w:val="59"/>
    <w:rsid w:val="008036FA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dePedagogiqueTitre5Missionsnumros">
    <w:name w:val="GuidePedagogique_Titre 5_Missions numéros"/>
    <w:basedOn w:val="Normal"/>
    <w:link w:val="GuidePedagogiqueTitre5MissionsnumrosCar"/>
    <w:qFormat/>
    <w:rsid w:val="008036FA"/>
    <w:pPr>
      <w:keepNext/>
      <w:keepLines/>
      <w:widowControl w:val="0"/>
      <w:tabs>
        <w:tab w:val="left" w:pos="560"/>
      </w:tabs>
      <w:suppressAutoHyphens/>
      <w:autoSpaceDE w:val="0"/>
      <w:autoSpaceDN w:val="0"/>
      <w:adjustRightInd w:val="0"/>
      <w:spacing w:before="340" w:after="113" w:line="310" w:lineRule="atLeast"/>
      <w:ind w:left="567" w:hanging="567"/>
      <w:textAlignment w:val="center"/>
    </w:pPr>
    <w:rPr>
      <w:rFonts w:ascii="GuidePedagogique" w:hAnsi="GuidePedagogique" w:cs="GuidePedagoNCond"/>
      <w:color w:val="000000"/>
      <w:sz w:val="25"/>
      <w:szCs w:val="25"/>
    </w:rPr>
  </w:style>
  <w:style w:type="paragraph" w:customStyle="1" w:styleId="GuidePedagogiqueTitre6Consignes">
    <w:name w:val="GuidePedagogique_Titre 6_Consignes"/>
    <w:basedOn w:val="Normal"/>
    <w:link w:val="GuidePedagogiqueTitre6ConsignesCar"/>
    <w:qFormat/>
    <w:rsid w:val="008036FA"/>
    <w:pPr>
      <w:keepNext/>
      <w:widowControl w:val="0"/>
      <w:suppressAutoHyphens/>
      <w:autoSpaceDE w:val="0"/>
      <w:autoSpaceDN w:val="0"/>
      <w:adjustRightInd w:val="0"/>
      <w:spacing w:before="120" w:after="60" w:line="270" w:lineRule="atLeast"/>
      <w:jc w:val="both"/>
      <w:textAlignment w:val="center"/>
    </w:pPr>
    <w:rPr>
      <w:rFonts w:ascii="GuidePedagogique" w:hAnsi="GuidePedagogique" w:cs="GuidePedagoTimes-Bold"/>
      <w:b/>
      <w:bCs/>
      <w:spacing w:val="-1"/>
      <w:sz w:val="23"/>
      <w:szCs w:val="23"/>
    </w:rPr>
  </w:style>
  <w:style w:type="character" w:customStyle="1" w:styleId="GuidePedagogiqueTitre5MissionsnumrosCar">
    <w:name w:val="GuidePedagogique_Titre 5_Missions numéros Car"/>
    <w:basedOn w:val="Policepardfaut"/>
    <w:link w:val="GuidePedagogiqueTitre5Missionsnumros"/>
    <w:rsid w:val="008036FA"/>
    <w:rPr>
      <w:rFonts w:ascii="GuidePedagogique" w:eastAsia="Times New Roman" w:hAnsi="GuidePedagogique" w:cs="GuidePedagoNCond"/>
      <w:color w:val="000000"/>
      <w:sz w:val="25"/>
      <w:szCs w:val="25"/>
      <w:lang w:eastAsia="fr-FR"/>
    </w:rPr>
  </w:style>
  <w:style w:type="paragraph" w:customStyle="1" w:styleId="GuidePedagogiqueTitre7Rponses">
    <w:name w:val="GuidePedagogique_Titre 7_Réponses"/>
    <w:basedOn w:val="Normal"/>
    <w:link w:val="GuidePedagogiqueTitre7RponsesCar"/>
    <w:qFormat/>
    <w:rsid w:val="008036FA"/>
    <w:rPr>
      <w:rFonts w:ascii="GuidePedagogique" w:hAnsi="GuidePedagogique"/>
      <w:sz w:val="22"/>
      <w:szCs w:val="22"/>
    </w:rPr>
  </w:style>
  <w:style w:type="character" w:customStyle="1" w:styleId="GuidePedagogiqueTitre6ConsignesCar">
    <w:name w:val="GuidePedagogique_Titre 6_Consignes Car"/>
    <w:basedOn w:val="Policepardfaut"/>
    <w:link w:val="GuidePedagogiqueTitre6Consignes"/>
    <w:rsid w:val="008036FA"/>
    <w:rPr>
      <w:rFonts w:ascii="GuidePedagogique" w:eastAsia="Times New Roman" w:hAnsi="GuidePedagogique" w:cs="GuidePedagoTimes-Bold"/>
      <w:b/>
      <w:bCs/>
      <w:spacing w:val="-1"/>
      <w:sz w:val="23"/>
      <w:szCs w:val="23"/>
      <w:lang w:eastAsia="fr-FR"/>
    </w:rPr>
  </w:style>
  <w:style w:type="character" w:customStyle="1" w:styleId="GuidePedagogiqueTitre7RponsesCar">
    <w:name w:val="GuidePedagogique_Titre 7_Réponses Car"/>
    <w:basedOn w:val="Policepardfaut"/>
    <w:link w:val="GuidePedagogiqueTitre7Rponses"/>
    <w:rsid w:val="008036FA"/>
    <w:rPr>
      <w:rFonts w:ascii="GuidePedagogique" w:eastAsia="Times New Roman" w:hAnsi="GuidePedagogique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JEANGEOT CLARA</dc:creator>
  <cp:keywords/>
  <dc:description/>
  <cp:lastModifiedBy>JEANGEOT CLARA</cp:lastModifiedBy>
  <cp:revision>1</cp:revision>
  <dcterms:created xsi:type="dcterms:W3CDTF">2021-07-01T16:07:00Z</dcterms:created>
  <dcterms:modified xsi:type="dcterms:W3CDTF">2021-07-01T16:07:00Z</dcterms:modified>
</cp:coreProperties>
</file>