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E5CD" w14:textId="77777777" w:rsidR="0017113F" w:rsidRDefault="0017113F" w:rsidP="0017113F">
      <w:pPr>
        <w:pStyle w:val="GuidePedagogiqueTitre5Missionsnumros"/>
        <w:rPr>
          <w:rFonts w:eastAsiaTheme="majorEastAsia"/>
        </w:rPr>
      </w:pPr>
      <w:r>
        <w:rPr>
          <w:rFonts w:eastAsiaTheme="majorEastAsia"/>
        </w:rPr>
        <w:t>Exercice 3</w:t>
      </w:r>
    </w:p>
    <w:p w14:paraId="186EE0E9" w14:textId="77777777" w:rsidR="0017113F" w:rsidRPr="00311678" w:rsidRDefault="0017113F" w:rsidP="0017113F">
      <w:pPr>
        <w:pStyle w:val="GuidePedagogiqueTitre6Consignes"/>
        <w:rPr>
          <w:rFonts w:eastAsiaTheme="majorEastAsia"/>
        </w:rPr>
      </w:pPr>
      <w:r>
        <w:rPr>
          <w:rFonts w:eastAsiaTheme="majorEastAsia"/>
        </w:rPr>
        <w:t xml:space="preserve">1. </w:t>
      </w:r>
      <w:r>
        <w:t>Identifiez les partenaires de cette unité commerciale</w:t>
      </w:r>
    </w:p>
    <w:p w14:paraId="70B712CC" w14:textId="77777777" w:rsidR="0017113F" w:rsidRPr="0064738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 w:rsidRPr="0064738F">
        <w:rPr>
          <w:iCs/>
        </w:rPr>
        <w:t xml:space="preserve">Les fournisseurs de marchandises : </w:t>
      </w:r>
      <w:r>
        <w:rPr>
          <w:iCs/>
        </w:rPr>
        <w:t xml:space="preserve">pour les </w:t>
      </w:r>
      <w:r w:rsidRPr="0064738F">
        <w:t>ordinateurs, imprimantes, modems, scanners, appareils photos numériques, etc</w:t>
      </w:r>
      <w:r>
        <w:t>.</w:t>
      </w:r>
    </w:p>
    <w:p w14:paraId="3A59193E" w14:textId="77777777" w:rsidR="0017113F" w:rsidRPr="0064738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>
        <w:rPr>
          <w:iCs/>
        </w:rPr>
        <w:t>Un f</w:t>
      </w:r>
      <w:r w:rsidRPr="0064738F">
        <w:rPr>
          <w:iCs/>
        </w:rPr>
        <w:t>ournisseur d’immobilisation pour la camionnette</w:t>
      </w:r>
      <w:r>
        <w:rPr>
          <w:iCs/>
        </w:rPr>
        <w:t>.</w:t>
      </w:r>
    </w:p>
    <w:p w14:paraId="072A2031" w14:textId="77777777" w:rsidR="0017113F" w:rsidRPr="0064738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 w:rsidRPr="0064738F">
        <w:rPr>
          <w:iCs/>
        </w:rPr>
        <w:t>Les fournisseurs de services : banquiers, EDF, La Poste, loueur des locaux, société chargée de l’entretien, transporteur</w:t>
      </w:r>
      <w:r>
        <w:rPr>
          <w:iCs/>
        </w:rPr>
        <w:t>.</w:t>
      </w:r>
    </w:p>
    <w:p w14:paraId="7621A1E8" w14:textId="77777777" w:rsidR="0017113F" w:rsidRPr="0064738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 w:rsidRPr="0064738F">
        <w:rPr>
          <w:iCs/>
        </w:rPr>
        <w:t>Les apporteurs de capitaux : le(s) banquier</w:t>
      </w:r>
      <w:r>
        <w:rPr>
          <w:iCs/>
        </w:rPr>
        <w:t>(s)</w:t>
      </w:r>
      <w:r w:rsidRPr="0064738F">
        <w:rPr>
          <w:iCs/>
        </w:rPr>
        <w:t xml:space="preserve"> de l’entreprise</w:t>
      </w:r>
      <w:r>
        <w:rPr>
          <w:iCs/>
        </w:rPr>
        <w:t>.</w:t>
      </w:r>
    </w:p>
    <w:p w14:paraId="034D44A2" w14:textId="77777777" w:rsidR="0017113F" w:rsidRPr="0064738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 w:rsidRPr="0064738F">
        <w:rPr>
          <w:iCs/>
        </w:rPr>
        <w:t>Les partenaires institutionnels de l’environnement local</w:t>
      </w:r>
      <w:r>
        <w:rPr>
          <w:iCs/>
        </w:rPr>
        <w:t> :</w:t>
      </w:r>
      <w:r w:rsidRPr="0064738F">
        <w:rPr>
          <w:iCs/>
        </w:rPr>
        <w:t xml:space="preserve"> association de commerçants</w:t>
      </w:r>
      <w:r>
        <w:rPr>
          <w:iCs/>
        </w:rPr>
        <w:t>.</w:t>
      </w:r>
    </w:p>
    <w:p w14:paraId="464EBE5D" w14:textId="77777777" w:rsidR="0017113F" w:rsidRPr="0064738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 w:rsidRPr="0064738F">
        <w:rPr>
          <w:iCs/>
        </w:rPr>
        <w:t>Les salariés</w:t>
      </w:r>
      <w:r>
        <w:rPr>
          <w:iCs/>
        </w:rPr>
        <w:t>.</w:t>
      </w:r>
    </w:p>
    <w:p w14:paraId="55E9C283" w14:textId="77777777" w:rsidR="0017113F" w:rsidRPr="0064738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 w:rsidRPr="0064738F">
        <w:rPr>
          <w:iCs/>
        </w:rPr>
        <w:t>Les organismes sociaux : U</w:t>
      </w:r>
      <w:r>
        <w:rPr>
          <w:iCs/>
        </w:rPr>
        <w:t>rssaf</w:t>
      </w:r>
      <w:r w:rsidRPr="0064738F">
        <w:rPr>
          <w:iCs/>
        </w:rPr>
        <w:t>, Assedic…</w:t>
      </w:r>
    </w:p>
    <w:p w14:paraId="03D80C70" w14:textId="77777777" w:rsidR="0017113F" w:rsidRDefault="0017113F" w:rsidP="0017113F">
      <w:pPr>
        <w:pStyle w:val="GuidePedagogiqueTitre7Rponses"/>
        <w:rPr>
          <w:iCs/>
        </w:rPr>
      </w:pPr>
      <w:r w:rsidRPr="005D3EE5">
        <w:t xml:space="preserve">• </w:t>
      </w:r>
      <w:r w:rsidRPr="0064738F">
        <w:rPr>
          <w:iCs/>
        </w:rPr>
        <w:t>Les clients : particuliers, collectivités (lycée)</w:t>
      </w:r>
      <w:r>
        <w:rPr>
          <w:iCs/>
        </w:rPr>
        <w:t>.</w:t>
      </w:r>
    </w:p>
    <w:p w14:paraId="1261C6EF" w14:textId="77777777" w:rsidR="0017113F" w:rsidRPr="00311678" w:rsidRDefault="0017113F" w:rsidP="0017113F">
      <w:pPr>
        <w:pStyle w:val="GuidePedagogiqueTitre6Consignes"/>
        <w:rPr>
          <w:iCs/>
        </w:rPr>
      </w:pPr>
      <w:r>
        <w:rPr>
          <w:iCs/>
        </w:rPr>
        <w:t xml:space="preserve">2. </w:t>
      </w:r>
      <w:r>
        <w:rPr>
          <w:rFonts w:eastAsiaTheme="minorHAnsi"/>
          <w:lang w:eastAsia="en-US"/>
        </w:rPr>
        <w:t>Déterminez les opérations du 1</w:t>
      </w:r>
      <w:r w:rsidRPr="00311678">
        <w:rPr>
          <w:rFonts w:eastAsiaTheme="minorHAnsi"/>
          <w:sz w:val="15"/>
          <w:szCs w:val="15"/>
          <w:vertAlign w:val="superscript"/>
          <w:lang w:eastAsia="en-US"/>
        </w:rPr>
        <w:t>er</w:t>
      </w:r>
      <w:r>
        <w:rPr>
          <w:rFonts w:eastAsiaTheme="minorHAnsi"/>
          <w:sz w:val="15"/>
          <w:szCs w:val="15"/>
          <w:lang w:eastAsia="en-US"/>
        </w:rPr>
        <w:t xml:space="preserve"> </w:t>
      </w:r>
      <w:r>
        <w:rPr>
          <w:rFonts w:eastAsiaTheme="minorHAnsi"/>
          <w:lang w:eastAsia="en-US"/>
        </w:rPr>
        <w:t>trimestre N relevant du cycle d’exploitation, celles relevant du cycle d’investissement et celles relevant du cycle de financement.</w:t>
      </w:r>
    </w:p>
    <w:tbl>
      <w:tblPr>
        <w:tblW w:w="5112" w:type="pct"/>
        <w:tblInd w:w="-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752"/>
        <w:gridCol w:w="6539"/>
      </w:tblGrid>
      <w:tr w:rsidR="0017113F" w:rsidRPr="0041729E" w14:paraId="15ED301F" w14:textId="77777777" w:rsidTr="00597E46">
        <w:trPr>
          <w:trHeight w:val="20"/>
        </w:trPr>
        <w:tc>
          <w:tcPr>
            <w:tcW w:w="10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972AD" w14:textId="77777777" w:rsidR="0017113F" w:rsidRPr="00311678" w:rsidRDefault="0017113F" w:rsidP="00597E46">
            <w:pPr>
              <w:pStyle w:val="GuidePedagogiqueTitre7Rponses"/>
              <w:jc w:val="center"/>
              <w:rPr>
                <w:b/>
              </w:rPr>
            </w:pPr>
            <w:r w:rsidRPr="00311678">
              <w:rPr>
                <w:b/>
              </w:rPr>
              <w:t>Type d’opération</w:t>
            </w:r>
          </w:p>
        </w:tc>
        <w:tc>
          <w:tcPr>
            <w:tcW w:w="4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512500" w14:textId="77777777" w:rsidR="0017113F" w:rsidRPr="00311678" w:rsidRDefault="0017113F" w:rsidP="00597E46">
            <w:pPr>
              <w:pStyle w:val="GuidePedagogiqueTitre7Rponses"/>
              <w:jc w:val="center"/>
              <w:rPr>
                <w:b/>
              </w:rPr>
            </w:pPr>
            <w:r w:rsidRPr="00311678">
              <w:rPr>
                <w:b/>
              </w:rPr>
              <w:t>N°</w:t>
            </w:r>
          </w:p>
        </w:tc>
        <w:tc>
          <w:tcPr>
            <w:tcW w:w="352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535C9" w14:textId="77777777" w:rsidR="0017113F" w:rsidRPr="00311678" w:rsidRDefault="0017113F" w:rsidP="00597E46">
            <w:pPr>
              <w:pStyle w:val="GuidePedagogiqueTitre7Rponses"/>
              <w:jc w:val="center"/>
              <w:rPr>
                <w:b/>
              </w:rPr>
            </w:pPr>
            <w:r w:rsidRPr="00311678">
              <w:rPr>
                <w:b/>
              </w:rPr>
              <w:t>Nature des opérations</w:t>
            </w:r>
          </w:p>
        </w:tc>
      </w:tr>
      <w:tr w:rsidR="0017113F" w:rsidRPr="0041729E" w14:paraId="651AB156" w14:textId="77777777" w:rsidTr="00597E46">
        <w:trPr>
          <w:trHeight w:val="20"/>
        </w:trPr>
        <w:tc>
          <w:tcPr>
            <w:tcW w:w="106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BCF68" w14:textId="77777777" w:rsidR="0017113F" w:rsidRPr="0041729E" w:rsidRDefault="0017113F" w:rsidP="00597E46">
            <w:pPr>
              <w:pStyle w:val="GuidePedagogiqueTitre7Rponses"/>
            </w:pPr>
            <w:r w:rsidRPr="0041729E">
              <w:t>Cycle d’exploitation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30A0D3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2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68289" w14:textId="77777777" w:rsidR="0017113F" w:rsidRPr="0041729E" w:rsidRDefault="0017113F" w:rsidP="00597E46">
            <w:pPr>
              <w:pStyle w:val="GuidePedagogiqueTitre7Rponses"/>
            </w:pPr>
            <w:r w:rsidRPr="0041729E">
              <w:t>Achat à crédit d'ordinateurs et d’imprimantes destinés à la revente</w:t>
            </w:r>
          </w:p>
        </w:tc>
      </w:tr>
      <w:tr w:rsidR="0017113F" w:rsidRPr="0041729E" w14:paraId="46A96658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121BEA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C5BA85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3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916A57" w14:textId="77777777" w:rsidR="0017113F" w:rsidRPr="0041729E" w:rsidRDefault="0017113F" w:rsidP="00597E46">
            <w:pPr>
              <w:pStyle w:val="GuidePedagogiqueTitre7Rponses"/>
            </w:pPr>
            <w:r w:rsidRPr="0041729E">
              <w:t>Vente au comptant d’un ordinateur et imprimante</w:t>
            </w:r>
            <w:r>
              <w:t>s</w:t>
            </w:r>
            <w:r w:rsidRPr="0041729E">
              <w:t xml:space="preserve"> </w:t>
            </w:r>
            <w:r>
              <w:t>destinés à la revente</w:t>
            </w:r>
          </w:p>
        </w:tc>
      </w:tr>
      <w:tr w:rsidR="0017113F" w:rsidRPr="0041729E" w14:paraId="5F3DF724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81688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155411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4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70956" w14:textId="77777777" w:rsidR="0017113F" w:rsidRPr="0041729E" w:rsidRDefault="0017113F" w:rsidP="00597E46">
            <w:pPr>
              <w:pStyle w:val="GuidePedagogiqueTitre7Rponses"/>
            </w:pPr>
            <w:r w:rsidRPr="0041729E">
              <w:t>Encaissement d’un contrat de maintenance annuel auprès d’un lycée.</w:t>
            </w:r>
          </w:p>
        </w:tc>
      </w:tr>
      <w:tr w:rsidR="0017113F" w:rsidRPr="0041729E" w14:paraId="522FA11E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042E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904C52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6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CCF067" w14:textId="77777777" w:rsidR="0017113F" w:rsidRPr="0041729E" w:rsidRDefault="0017113F" w:rsidP="00597E46">
            <w:pPr>
              <w:pStyle w:val="GuidePedagogiqueTitre7Rponses"/>
            </w:pPr>
            <w:r w:rsidRPr="0041729E">
              <w:t>Paiement</w:t>
            </w:r>
            <w:r>
              <w:t xml:space="preserve"> de la</w:t>
            </w:r>
            <w:r w:rsidRPr="0041729E">
              <w:t xml:space="preserve"> facture d’entretien pour le chauffage</w:t>
            </w:r>
          </w:p>
        </w:tc>
      </w:tr>
      <w:tr w:rsidR="0017113F" w:rsidRPr="0041729E" w14:paraId="15ABBC18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4E5ED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356966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7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93FA6" w14:textId="77777777" w:rsidR="0017113F" w:rsidRPr="0041729E" w:rsidRDefault="0017113F" w:rsidP="00597E46">
            <w:pPr>
              <w:pStyle w:val="GuidePedagogiqueTitre7Rponses"/>
            </w:pPr>
            <w:r w:rsidRPr="0041729E">
              <w:t xml:space="preserve">Règlement </w:t>
            </w:r>
            <w:r>
              <w:t xml:space="preserve">de la </w:t>
            </w:r>
            <w:r w:rsidRPr="0041729E">
              <w:t>facture EDF</w:t>
            </w:r>
          </w:p>
        </w:tc>
      </w:tr>
      <w:tr w:rsidR="0017113F" w:rsidRPr="0041729E" w14:paraId="3E4AB01E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B90B3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BCB14C4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8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E89937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des loyers de la période</w:t>
            </w:r>
          </w:p>
        </w:tc>
      </w:tr>
      <w:tr w:rsidR="0017113F" w:rsidRPr="0041729E" w14:paraId="5DB8E861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34045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D57AF2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9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DA74A0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 la facture téléphonique de la période</w:t>
            </w:r>
          </w:p>
        </w:tc>
      </w:tr>
      <w:tr w:rsidR="0017113F" w:rsidRPr="0041729E" w14:paraId="4FCC2399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7AB4E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6338F8D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10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16E13F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 la cotisation à l'Association des commerçants</w:t>
            </w:r>
          </w:p>
        </w:tc>
      </w:tr>
      <w:tr w:rsidR="0017113F" w:rsidRPr="0041729E" w14:paraId="4647B905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8C35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2D5AF1C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11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ABA78E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des fournisseurs ordinateurs</w:t>
            </w:r>
          </w:p>
        </w:tc>
      </w:tr>
      <w:tr w:rsidR="0017113F" w:rsidRPr="0041729E" w14:paraId="2B982A1E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1C4C4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B3665C7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12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EB3D37" w14:textId="77777777" w:rsidR="0017113F" w:rsidRPr="0041729E" w:rsidRDefault="0017113F" w:rsidP="00597E46">
            <w:pPr>
              <w:pStyle w:val="GuidePedagogiqueTitre7Rponses"/>
            </w:pPr>
            <w:r w:rsidRPr="0041729E">
              <w:t>Ventes à crédit d’ordinateurs et d’imprimantes</w:t>
            </w:r>
          </w:p>
        </w:tc>
      </w:tr>
      <w:tr w:rsidR="0017113F" w:rsidRPr="0041729E" w14:paraId="5496CF56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49127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9126E2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13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8DA245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comptant de la facture d'un transporteur</w:t>
            </w:r>
          </w:p>
        </w:tc>
      </w:tr>
      <w:tr w:rsidR="0017113F" w:rsidRPr="0041729E" w14:paraId="58A0052C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CFEC5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E6996A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14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986D26" w14:textId="77777777" w:rsidR="0017113F" w:rsidRPr="0041729E" w:rsidRDefault="0017113F" w:rsidP="00597E46">
            <w:pPr>
              <w:pStyle w:val="GuidePedagogiqueTitre7Rponses"/>
            </w:pPr>
            <w:r w:rsidRPr="0041729E">
              <w:t>Paiement des salaires de la période</w:t>
            </w:r>
          </w:p>
        </w:tc>
      </w:tr>
      <w:tr w:rsidR="0017113F" w:rsidRPr="0041729E" w14:paraId="690F456D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355EF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B346959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15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BA45A9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 la TVA due à l’</w:t>
            </w:r>
            <w:r>
              <w:t>É</w:t>
            </w:r>
            <w:r w:rsidRPr="0041729E">
              <w:t>tat</w:t>
            </w:r>
          </w:p>
        </w:tc>
      </w:tr>
      <w:tr w:rsidR="0017113F" w:rsidRPr="0041729E" w14:paraId="09A1051C" w14:textId="77777777" w:rsidTr="00597E46">
        <w:trPr>
          <w:trHeight w:val="20"/>
        </w:trPr>
        <w:tc>
          <w:tcPr>
            <w:tcW w:w="10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E7490F" w14:textId="77777777" w:rsidR="0017113F" w:rsidRPr="0041729E" w:rsidRDefault="0017113F" w:rsidP="00597E46">
            <w:pPr>
              <w:pStyle w:val="GuidePedagogiqueTitre7Rponses"/>
            </w:pPr>
            <w:r w:rsidRPr="0041729E">
              <w:t>Cycle d’investissement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EA6B7E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5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2A663D" w14:textId="77777777" w:rsidR="0017113F" w:rsidRPr="0041729E" w:rsidRDefault="0017113F" w:rsidP="00597E46">
            <w:pPr>
              <w:pStyle w:val="GuidePedagogiqueTitre7Rponses"/>
            </w:pPr>
            <w:r w:rsidRPr="0041729E">
              <w:t>Achat, réglé par chèque, d’une camionnette de livraison</w:t>
            </w:r>
          </w:p>
        </w:tc>
      </w:tr>
      <w:tr w:rsidR="0017113F" w:rsidRPr="0041729E" w14:paraId="66D5C040" w14:textId="77777777" w:rsidTr="00597E46">
        <w:trPr>
          <w:trHeight w:val="20"/>
        </w:trPr>
        <w:tc>
          <w:tcPr>
            <w:tcW w:w="1065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14DB993" w14:textId="77777777" w:rsidR="0017113F" w:rsidRPr="0041729E" w:rsidRDefault="0017113F" w:rsidP="00597E46">
            <w:pPr>
              <w:pStyle w:val="GuidePedagogiqueTitre7Rponses"/>
            </w:pPr>
            <w:r w:rsidRPr="0041729E">
              <w:t>Cycle de financement</w:t>
            </w: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D4EAEF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45A4F3" w14:textId="77777777" w:rsidR="0017113F" w:rsidRPr="0041729E" w:rsidRDefault="0017113F" w:rsidP="00597E46">
            <w:pPr>
              <w:pStyle w:val="GuidePedagogiqueTitre7Rponses"/>
            </w:pPr>
            <w:r w:rsidRPr="0041729E">
              <w:t>Emprunt contracté auprès d’une banque, viré sur le compte bancaire</w:t>
            </w:r>
          </w:p>
        </w:tc>
      </w:tr>
      <w:tr w:rsidR="0017113F" w:rsidRPr="0041729E" w14:paraId="0B5EA939" w14:textId="77777777" w:rsidTr="00597E46">
        <w:trPr>
          <w:trHeight w:val="20"/>
        </w:trPr>
        <w:tc>
          <w:tcPr>
            <w:tcW w:w="1065" w:type="pct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3D41C3" w14:textId="77777777" w:rsidR="0017113F" w:rsidRPr="0041729E" w:rsidRDefault="0017113F" w:rsidP="00597E46">
            <w:pPr>
              <w:pStyle w:val="GuidePedagogiqueTitre7Rponses"/>
            </w:pPr>
          </w:p>
        </w:tc>
        <w:tc>
          <w:tcPr>
            <w:tcW w:w="406" w:type="pc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610A438" w14:textId="77777777" w:rsidR="0017113F" w:rsidRPr="0041729E" w:rsidRDefault="0017113F" w:rsidP="00597E46">
            <w:pPr>
              <w:pStyle w:val="GuidePedagogiqueTitre7Rponses"/>
              <w:jc w:val="center"/>
            </w:pPr>
            <w:r w:rsidRPr="0041729E">
              <w:t>16</w:t>
            </w:r>
          </w:p>
        </w:tc>
        <w:tc>
          <w:tcPr>
            <w:tcW w:w="3529" w:type="pct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78ABAC" w14:textId="77777777" w:rsidR="0017113F" w:rsidRPr="0041729E" w:rsidRDefault="0017113F" w:rsidP="00597E46">
            <w:pPr>
              <w:pStyle w:val="GuidePedagogiqueTitre7Rponses"/>
            </w:pPr>
            <w:r w:rsidRPr="0041729E">
              <w:t>Paiement des intérêts de l’emprunt</w:t>
            </w:r>
          </w:p>
        </w:tc>
      </w:tr>
    </w:tbl>
    <w:p w14:paraId="498EAAFA" w14:textId="77777777" w:rsidR="0017113F" w:rsidRDefault="0017113F" w:rsidP="0017113F">
      <w:pPr>
        <w:pStyle w:val="GuidePedagogiqueTitre6Consignes"/>
      </w:pPr>
      <w:r>
        <w:t xml:space="preserve">3. </w:t>
      </w:r>
      <w:r>
        <w:rPr>
          <w:rFonts w:eastAsiaTheme="minorHAnsi"/>
          <w:lang w:eastAsia="en-US"/>
        </w:rPr>
        <w:t>Calculez la trésorerie à la fin du 1</w:t>
      </w:r>
      <w:r w:rsidRPr="00557C78">
        <w:rPr>
          <w:rFonts w:eastAsiaTheme="minorHAnsi"/>
          <w:sz w:val="15"/>
          <w:szCs w:val="15"/>
          <w:vertAlign w:val="superscript"/>
          <w:lang w:eastAsia="en-US"/>
        </w:rPr>
        <w:t>er</w:t>
      </w:r>
      <w:r>
        <w:rPr>
          <w:rFonts w:eastAsiaTheme="minorHAnsi"/>
          <w:sz w:val="15"/>
          <w:szCs w:val="15"/>
          <w:lang w:eastAsia="en-US"/>
        </w:rPr>
        <w:t xml:space="preserve"> </w:t>
      </w:r>
      <w:r>
        <w:rPr>
          <w:rFonts w:eastAsiaTheme="minorHAnsi"/>
          <w:lang w:eastAsia="en-US"/>
        </w:rPr>
        <w:t>trimestre N, sachant que la trésorerie de départ était de 2 932,50 €, et expliquez la situation.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"/>
        <w:gridCol w:w="5908"/>
        <w:gridCol w:w="1399"/>
        <w:gridCol w:w="1387"/>
      </w:tblGrid>
      <w:tr w:rsidR="0017113F" w:rsidRPr="001A5353" w14:paraId="7A7485FF" w14:textId="77777777" w:rsidTr="00597E46">
        <w:trPr>
          <w:cantSplit/>
          <w:trHeight w:val="38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2064D" w14:textId="77777777" w:rsidR="0017113F" w:rsidRPr="00557C78" w:rsidRDefault="0017113F" w:rsidP="00597E46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N°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F86467" w14:textId="77777777" w:rsidR="0017113F" w:rsidRPr="00557C78" w:rsidRDefault="0017113F" w:rsidP="00597E46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Nature des opérations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30B89B" w14:textId="77777777" w:rsidR="0017113F" w:rsidRPr="00557C78" w:rsidRDefault="0017113F" w:rsidP="00597E46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Encaissements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6FAE9" w14:textId="77777777" w:rsidR="0017113F" w:rsidRPr="00557C78" w:rsidRDefault="0017113F" w:rsidP="00597E46">
            <w:pPr>
              <w:pStyle w:val="GuidePedagogiqueTitre7Rponses"/>
              <w:jc w:val="center"/>
              <w:rPr>
                <w:b/>
              </w:rPr>
            </w:pPr>
            <w:r w:rsidRPr="00557C78">
              <w:rPr>
                <w:b/>
              </w:rPr>
              <w:t>Décaissements</w:t>
            </w:r>
          </w:p>
        </w:tc>
      </w:tr>
      <w:tr w:rsidR="0017113F" w:rsidRPr="001A5353" w14:paraId="6CD33687" w14:textId="77777777" w:rsidTr="00597E46">
        <w:trPr>
          <w:trHeight w:val="30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45812B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1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79406F" w14:textId="77777777" w:rsidR="0017113F" w:rsidRPr="001A5353" w:rsidRDefault="0017113F" w:rsidP="00597E46">
            <w:pPr>
              <w:pStyle w:val="GuidePedagogiqueTitre7Rponses"/>
            </w:pPr>
            <w:r w:rsidRPr="001A5353">
              <w:t>Emprunt contracté auprès d’une banque, viré sur le compte bancaire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A9DF27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15</w:t>
            </w:r>
            <w:r>
              <w:t> 625,</w:t>
            </w:r>
            <w:r w:rsidRPr="001A5353">
              <w:t>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2CCAF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</w:tr>
      <w:tr w:rsidR="0017113F" w:rsidRPr="001A5353" w14:paraId="27424058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DFDAE4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3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DD54CB" w14:textId="77777777" w:rsidR="0017113F" w:rsidRPr="0041729E" w:rsidRDefault="0017113F" w:rsidP="00597E46">
            <w:pPr>
              <w:pStyle w:val="GuidePedagogiqueTitre7Rponses"/>
            </w:pPr>
            <w:r w:rsidRPr="0041729E">
              <w:t>Vente au comptant d’un ordinateur et imprimante</w:t>
            </w:r>
            <w:r>
              <w:t>s</w:t>
            </w:r>
            <w:r w:rsidRPr="0041729E">
              <w:t xml:space="preserve"> </w:t>
            </w:r>
            <w:r>
              <w:t>destinés à la revente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90A9BE1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1</w:t>
            </w:r>
            <w:r>
              <w:t> 612,</w:t>
            </w:r>
            <w:r w:rsidRPr="001A5353">
              <w:t>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0AE00D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</w:tr>
      <w:tr w:rsidR="0017113F" w:rsidRPr="001A5353" w14:paraId="51ADF59E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B3FD8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4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BD0D12" w14:textId="77777777" w:rsidR="0017113F" w:rsidRPr="0041729E" w:rsidRDefault="0017113F" w:rsidP="00597E46">
            <w:pPr>
              <w:pStyle w:val="GuidePedagogiqueTitre7Rponses"/>
            </w:pPr>
            <w:r w:rsidRPr="0041729E">
              <w:t>Encaissement d’un contrat de maintenance annuel auprès d’un lycée.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EAB4FF2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2</w:t>
            </w:r>
            <w:r>
              <w:t> 187,</w:t>
            </w:r>
            <w:r w:rsidRPr="001A5353">
              <w:t>50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D26B9AC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</w:tr>
      <w:tr w:rsidR="0017113F" w:rsidRPr="001A5353" w14:paraId="26C9BA43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B48B3D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5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4E58A9" w14:textId="77777777" w:rsidR="0017113F" w:rsidRPr="001A5353" w:rsidRDefault="0017113F" w:rsidP="00597E46">
            <w:pPr>
              <w:pStyle w:val="GuidePedagogiqueTitre7Rponses"/>
            </w:pPr>
            <w:r w:rsidRPr="001A5353">
              <w:t>Achat, réglé par chèque, d’une camionnette de livraison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AC1965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B5714E8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16</w:t>
            </w:r>
            <w:r>
              <w:t> 875,</w:t>
            </w:r>
            <w:r w:rsidRPr="001A5353">
              <w:t>00</w:t>
            </w:r>
          </w:p>
        </w:tc>
      </w:tr>
      <w:tr w:rsidR="0017113F" w:rsidRPr="001A5353" w14:paraId="23E0057B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B55BD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6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4EC61" w14:textId="77777777" w:rsidR="0017113F" w:rsidRPr="0041729E" w:rsidRDefault="0017113F" w:rsidP="00597E46">
            <w:pPr>
              <w:pStyle w:val="GuidePedagogiqueTitre7Rponses"/>
            </w:pPr>
            <w:r w:rsidRPr="0041729E">
              <w:t>Paiement</w:t>
            </w:r>
            <w:r>
              <w:t xml:space="preserve"> de la</w:t>
            </w:r>
            <w:r w:rsidRPr="0041729E">
              <w:t xml:space="preserve"> facture d’entretien pour le chauffage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BD3255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40D2B3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437</w:t>
            </w:r>
            <w:r>
              <w:t>,</w:t>
            </w:r>
            <w:r w:rsidRPr="001A5353">
              <w:t>50</w:t>
            </w:r>
          </w:p>
        </w:tc>
      </w:tr>
      <w:tr w:rsidR="0017113F" w:rsidRPr="001A5353" w14:paraId="69092E05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43EFB40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7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39AF99" w14:textId="77777777" w:rsidR="0017113F" w:rsidRPr="0041729E" w:rsidRDefault="0017113F" w:rsidP="00597E46">
            <w:pPr>
              <w:pStyle w:val="GuidePedagogiqueTitre7Rponses"/>
            </w:pPr>
            <w:r w:rsidRPr="0041729E">
              <w:t xml:space="preserve">Règlement </w:t>
            </w:r>
            <w:r>
              <w:t xml:space="preserve">de la </w:t>
            </w:r>
            <w:r w:rsidRPr="0041729E">
              <w:t>facture EDF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3126942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45CD94D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1</w:t>
            </w:r>
            <w:r>
              <w:t> 207,</w:t>
            </w:r>
            <w:r w:rsidRPr="001A5353">
              <w:t>50</w:t>
            </w:r>
          </w:p>
        </w:tc>
      </w:tr>
      <w:tr w:rsidR="0017113F" w:rsidRPr="001A5353" w14:paraId="1478AB0B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3767DC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8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9827EF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des loyers de la période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040BA77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E3E3B60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842</w:t>
            </w:r>
            <w:r>
              <w:t>,</w:t>
            </w:r>
            <w:r w:rsidRPr="001A5353">
              <w:t>50</w:t>
            </w:r>
          </w:p>
        </w:tc>
      </w:tr>
      <w:tr w:rsidR="0017113F" w:rsidRPr="001A5353" w14:paraId="10F6F745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467E50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9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68C18A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 la facture téléphonique de la période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0D5BC5B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A78DC8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562</w:t>
            </w:r>
            <w:r>
              <w:t>,</w:t>
            </w:r>
            <w:r w:rsidRPr="001A5353">
              <w:t>50</w:t>
            </w:r>
          </w:p>
        </w:tc>
      </w:tr>
      <w:tr w:rsidR="0017113F" w:rsidRPr="001A5353" w14:paraId="50D50ED1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78C73A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10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7FE442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 la cotisation à l'Association des commerçants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E6494AA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3A80BAF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150</w:t>
            </w:r>
            <w:r>
              <w:t>,</w:t>
            </w:r>
            <w:r w:rsidRPr="001A5353">
              <w:t>00</w:t>
            </w:r>
          </w:p>
        </w:tc>
      </w:tr>
      <w:tr w:rsidR="0017113F" w:rsidRPr="001A5353" w14:paraId="07034DA2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8A64464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lastRenderedPageBreak/>
              <w:t>11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A6959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des fournisseurs ordinateurs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C85DF0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C89B87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12</w:t>
            </w:r>
            <w:r>
              <w:t> 500,</w:t>
            </w:r>
            <w:r w:rsidRPr="001A5353">
              <w:t>00</w:t>
            </w:r>
          </w:p>
        </w:tc>
      </w:tr>
      <w:tr w:rsidR="0017113F" w:rsidRPr="001A5353" w14:paraId="1FD1C605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4C5ED2F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13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28F9CB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comptant de la facture d'un transporteur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03B2CB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EEEB9E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102</w:t>
            </w:r>
            <w:r>
              <w:t>,</w:t>
            </w:r>
            <w:r w:rsidRPr="001A5353">
              <w:t>50</w:t>
            </w:r>
          </w:p>
        </w:tc>
      </w:tr>
      <w:tr w:rsidR="0017113F" w:rsidRPr="001A5353" w14:paraId="567485B5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DA67B71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14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DA7EC9" w14:textId="77777777" w:rsidR="0017113F" w:rsidRPr="0041729E" w:rsidRDefault="0017113F" w:rsidP="00597E46">
            <w:pPr>
              <w:pStyle w:val="GuidePedagogiqueTitre7Rponses"/>
            </w:pPr>
            <w:r w:rsidRPr="0041729E">
              <w:t>Paiement des salaires de la période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73EAB9B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A4A10D6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5</w:t>
            </w:r>
            <w:r>
              <w:t> 375,</w:t>
            </w:r>
            <w:r w:rsidRPr="001A5353">
              <w:t>00</w:t>
            </w:r>
          </w:p>
        </w:tc>
      </w:tr>
      <w:tr w:rsidR="0017113F" w:rsidRPr="001A5353" w14:paraId="1E3F2038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A51C9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15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606E7B" w14:textId="77777777" w:rsidR="0017113F" w:rsidRPr="0041729E" w:rsidRDefault="0017113F" w:rsidP="00597E46">
            <w:pPr>
              <w:pStyle w:val="GuidePedagogiqueTitre7Rponses"/>
            </w:pPr>
            <w:r w:rsidRPr="0041729E">
              <w:t>Règlement de la TVA due à l’</w:t>
            </w:r>
            <w:r>
              <w:t>É</w:t>
            </w:r>
            <w:r w:rsidRPr="0041729E">
              <w:t>tat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B0BBA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47D8409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562</w:t>
            </w:r>
            <w:r>
              <w:t>,</w:t>
            </w:r>
            <w:r w:rsidRPr="001A5353">
              <w:t>50</w:t>
            </w:r>
          </w:p>
        </w:tc>
      </w:tr>
      <w:tr w:rsidR="0017113F" w:rsidRPr="001A5353" w14:paraId="591A186C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C3BABD" w14:textId="77777777" w:rsidR="0017113F" w:rsidRPr="001A5353" w:rsidRDefault="0017113F" w:rsidP="00597E46">
            <w:pPr>
              <w:pStyle w:val="GuidePedagogiqueTitre7Rponses"/>
              <w:jc w:val="center"/>
            </w:pPr>
            <w:r w:rsidRPr="001A5353">
              <w:t>16</w:t>
            </w: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DFDFEB" w14:textId="77777777" w:rsidR="0017113F" w:rsidRPr="001A5353" w:rsidRDefault="0017113F" w:rsidP="00597E46">
            <w:pPr>
              <w:pStyle w:val="GuidePedagogiqueTitre7Rponses"/>
            </w:pPr>
            <w:r w:rsidRPr="001A5353">
              <w:t>Paiement des intérêts de l’emprunt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9E0C92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A54FA7A" w14:textId="77777777" w:rsidR="0017113F" w:rsidRPr="001A5353" w:rsidRDefault="0017113F" w:rsidP="00597E46">
            <w:pPr>
              <w:pStyle w:val="GuidePedagogiqueTitre7Rponses"/>
              <w:ind w:right="172"/>
              <w:jc w:val="right"/>
            </w:pPr>
            <w:r w:rsidRPr="001A5353">
              <w:t>800</w:t>
            </w:r>
            <w:r>
              <w:t>,</w:t>
            </w:r>
            <w:r w:rsidRPr="001A5353">
              <w:t>00</w:t>
            </w:r>
          </w:p>
        </w:tc>
      </w:tr>
      <w:tr w:rsidR="0017113F" w:rsidRPr="001A5353" w14:paraId="27E599AE" w14:textId="77777777" w:rsidTr="00597E46">
        <w:trPr>
          <w:trHeight w:val="285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27DBF9" w14:textId="77777777" w:rsidR="0017113F" w:rsidRPr="001A5353" w:rsidRDefault="0017113F" w:rsidP="00597E46">
            <w:pPr>
              <w:pStyle w:val="GuidePedagogiqueTitre7Rponses"/>
              <w:jc w:val="center"/>
            </w:pPr>
          </w:p>
        </w:tc>
        <w:tc>
          <w:tcPr>
            <w:tcW w:w="3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2EB925" w14:textId="77777777" w:rsidR="0017113F" w:rsidRPr="00557C78" w:rsidRDefault="0017113F" w:rsidP="00597E46">
            <w:pPr>
              <w:pStyle w:val="GuidePedagogiqueTitre7Rponses"/>
              <w:rPr>
                <w:b/>
              </w:rPr>
            </w:pPr>
            <w:r w:rsidRPr="00557C78">
              <w:rPr>
                <w:b/>
              </w:rPr>
              <w:t>Totaux des flux de trésorerie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81AA8A" w14:textId="77777777" w:rsidR="0017113F" w:rsidRPr="00557C78" w:rsidRDefault="0017113F" w:rsidP="00597E46">
            <w:pPr>
              <w:pStyle w:val="GuidePedagogiqueTitre7Rponses"/>
              <w:ind w:right="172"/>
              <w:jc w:val="right"/>
              <w:rPr>
                <w:b/>
              </w:rPr>
            </w:pPr>
            <w:r w:rsidRPr="00557C78">
              <w:rPr>
                <w:b/>
              </w:rPr>
              <w:t>19 425,00</w:t>
            </w:r>
          </w:p>
        </w:tc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7851C4" w14:textId="77777777" w:rsidR="0017113F" w:rsidRPr="00557C78" w:rsidRDefault="0017113F" w:rsidP="00597E46">
            <w:pPr>
              <w:pStyle w:val="GuidePedagogiqueTitre7Rponses"/>
              <w:ind w:right="172"/>
              <w:jc w:val="right"/>
              <w:rPr>
                <w:b/>
              </w:rPr>
            </w:pPr>
            <w:r w:rsidRPr="00557C78">
              <w:rPr>
                <w:b/>
              </w:rPr>
              <w:t>39 415,00</w:t>
            </w:r>
          </w:p>
        </w:tc>
      </w:tr>
    </w:tbl>
    <w:p w14:paraId="2E457B02" w14:textId="77777777" w:rsidR="0017113F" w:rsidRDefault="0017113F" w:rsidP="0017113F">
      <w:pPr>
        <w:ind w:left="284"/>
        <w:jc w:val="both"/>
        <w:rPr>
          <w:b/>
          <w:bCs/>
        </w:rPr>
      </w:pPr>
    </w:p>
    <w:tbl>
      <w:tblPr>
        <w:tblW w:w="42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1214"/>
      </w:tblGrid>
      <w:tr w:rsidR="0017113F" w:rsidRPr="0041729E" w14:paraId="21D47ACC" w14:textId="77777777" w:rsidTr="00597E46">
        <w:trPr>
          <w:trHeight w:val="30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8CCA8D" w14:textId="77777777" w:rsidR="0017113F" w:rsidRPr="0041729E" w:rsidRDefault="0017113F" w:rsidP="00597E46">
            <w:pPr>
              <w:pStyle w:val="GuidePedagogiqueTitre7Rponses"/>
            </w:pPr>
            <w:r w:rsidRPr="0041729E">
              <w:t>Trésorerie de départ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43605C" w14:textId="77777777" w:rsidR="0017113F" w:rsidRPr="0041729E" w:rsidRDefault="0017113F" w:rsidP="00597E46">
            <w:pPr>
              <w:pStyle w:val="GuidePedagogiqueTitre7Rponses"/>
              <w:ind w:right="139"/>
              <w:jc w:val="right"/>
            </w:pPr>
            <w:r w:rsidRPr="0041729E">
              <w:t>2</w:t>
            </w:r>
            <w:r>
              <w:t> 932,</w:t>
            </w:r>
            <w:r w:rsidRPr="0041729E">
              <w:t>50</w:t>
            </w:r>
          </w:p>
        </w:tc>
      </w:tr>
      <w:tr w:rsidR="0017113F" w:rsidRPr="0041729E" w14:paraId="6569BCFF" w14:textId="77777777" w:rsidTr="00597E4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7A19F" w14:textId="77777777" w:rsidR="0017113F" w:rsidRPr="0041729E" w:rsidRDefault="0017113F" w:rsidP="00597E46">
            <w:pPr>
              <w:pStyle w:val="GuidePedagogiqueTitre7Rponses"/>
            </w:pPr>
            <w:r w:rsidRPr="0041729E">
              <w:t>Encaissements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8055D5" w14:textId="77777777" w:rsidR="0017113F" w:rsidRPr="0041729E" w:rsidRDefault="0017113F" w:rsidP="00597E46">
            <w:pPr>
              <w:pStyle w:val="GuidePedagogiqueTitre7Rponses"/>
              <w:ind w:right="139"/>
              <w:jc w:val="right"/>
            </w:pPr>
            <w:r w:rsidRPr="0041729E">
              <w:t>19</w:t>
            </w:r>
            <w:r>
              <w:t> 425,</w:t>
            </w:r>
            <w:r w:rsidRPr="0041729E">
              <w:t>00</w:t>
            </w:r>
          </w:p>
        </w:tc>
      </w:tr>
      <w:tr w:rsidR="0017113F" w:rsidRPr="0041729E" w14:paraId="65E07855" w14:textId="77777777" w:rsidTr="00597E46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845CB4" w14:textId="77777777" w:rsidR="0017113F" w:rsidRPr="0041729E" w:rsidRDefault="0017113F" w:rsidP="00597E46">
            <w:pPr>
              <w:pStyle w:val="GuidePedagogiqueTitre7Rponses"/>
            </w:pPr>
            <w:r>
              <w:t>–</w:t>
            </w:r>
            <w:r w:rsidRPr="0041729E">
              <w:t xml:space="preserve"> Décaissements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5259C" w14:textId="77777777" w:rsidR="0017113F" w:rsidRPr="0041729E" w:rsidRDefault="0017113F" w:rsidP="00597E46">
            <w:pPr>
              <w:pStyle w:val="GuidePedagogiqueTitre7Rponses"/>
              <w:ind w:right="139"/>
              <w:jc w:val="right"/>
            </w:pPr>
            <w:r>
              <w:rPr>
                <w:rFonts w:ascii="Times New Roman" w:hAnsi="Times New Roman"/>
              </w:rPr>
              <w:t>–</w:t>
            </w:r>
            <w:r>
              <w:t xml:space="preserve"> </w:t>
            </w:r>
            <w:r w:rsidRPr="0041729E">
              <w:t>39</w:t>
            </w:r>
            <w:r>
              <w:t> 415,</w:t>
            </w:r>
            <w:r w:rsidRPr="0041729E">
              <w:t>00</w:t>
            </w:r>
          </w:p>
        </w:tc>
      </w:tr>
      <w:tr w:rsidR="0017113F" w:rsidRPr="0041729E" w14:paraId="0DEDF2D3" w14:textId="77777777" w:rsidTr="00597E46">
        <w:trPr>
          <w:trHeight w:val="28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F754A97" w14:textId="77777777" w:rsidR="0017113F" w:rsidRPr="0041729E" w:rsidRDefault="0017113F" w:rsidP="00597E46">
            <w:pPr>
              <w:pStyle w:val="GuidePedagogiqueTitre7Rponses"/>
            </w:pPr>
            <w:r w:rsidRPr="0041729E">
              <w:t>Trésorerie de fin de période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BB6A69" w14:textId="77777777" w:rsidR="0017113F" w:rsidRPr="00557C78" w:rsidRDefault="0017113F" w:rsidP="00597E46">
            <w:pPr>
              <w:pStyle w:val="GuidePedagogiqueTitre7Rponses"/>
              <w:ind w:right="139"/>
              <w:jc w:val="right"/>
              <w:rPr>
                <w:b/>
              </w:rPr>
            </w:pPr>
            <w:r w:rsidRPr="00557C78">
              <w:rPr>
                <w:b/>
              </w:rPr>
              <w:t>– 17 057,50</w:t>
            </w:r>
          </w:p>
        </w:tc>
      </w:tr>
    </w:tbl>
    <w:p w14:paraId="7C89305D" w14:textId="77777777" w:rsidR="0017113F" w:rsidRPr="0041729E" w:rsidRDefault="0017113F" w:rsidP="0017113F">
      <w:pPr>
        <w:pStyle w:val="GuidePedagogiqueTitre7Rponses"/>
      </w:pPr>
      <w:r w:rsidRPr="0041729E">
        <w:rPr>
          <w:b/>
        </w:rPr>
        <w:t>Explications</w:t>
      </w:r>
      <w:r>
        <w:rPr>
          <w:b/>
        </w:rPr>
        <w:t> </w:t>
      </w:r>
      <w:r w:rsidRPr="0041729E">
        <w:rPr>
          <w:b/>
        </w:rPr>
        <w:t>:</w:t>
      </w:r>
      <w:r w:rsidRPr="0041729E">
        <w:t xml:space="preserve"> </w:t>
      </w:r>
      <w:r>
        <w:t>l</w:t>
      </w:r>
      <w:r w:rsidRPr="0041729E">
        <w:t>a trésorerie de fin de période est négative</w:t>
      </w:r>
      <w:r>
        <w:t> </w:t>
      </w:r>
      <w:r w:rsidRPr="0041729E">
        <w:t>; les décaissements sont supérieurs à la somme des encaissements et de la trésorerie de départ. Cette situation peut s’expliquer par</w:t>
      </w:r>
      <w:r>
        <w:rPr>
          <w:rFonts w:hint="eastAsia"/>
        </w:rPr>
        <w:t> </w:t>
      </w:r>
      <w:r>
        <w:t>:</w:t>
      </w:r>
    </w:p>
    <w:p w14:paraId="36115AF8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l</w:t>
      </w:r>
      <w:r w:rsidRPr="0041729E">
        <w:t>es encaissements</w:t>
      </w:r>
      <w:r>
        <w:t> </w:t>
      </w:r>
      <w:r w:rsidRPr="0041729E">
        <w:t>:</w:t>
      </w:r>
    </w:p>
    <w:p w14:paraId="52DBA73F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p</w:t>
      </w:r>
      <w:r w:rsidRPr="0041729E">
        <w:t>arce que les ventes ne sont pas suffisantes</w:t>
      </w:r>
      <w:r>
        <w:rPr>
          <w:rFonts w:hint="eastAsia"/>
        </w:rPr>
        <w:t> </w:t>
      </w:r>
      <w:r>
        <w:t>;</w:t>
      </w:r>
    </w:p>
    <w:p w14:paraId="4FABFCD8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p</w:t>
      </w:r>
      <w:r w:rsidRPr="0041729E">
        <w:t>arce que le crédit client est trop long</w:t>
      </w:r>
      <w:r>
        <w:rPr>
          <w:rFonts w:hint="eastAsia"/>
        </w:rPr>
        <w:t> </w:t>
      </w:r>
      <w:r>
        <w:t>;</w:t>
      </w:r>
    </w:p>
    <w:p w14:paraId="140FC5F6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•</w:t>
      </w:r>
      <w:r>
        <w:t xml:space="preserve"> l</w:t>
      </w:r>
      <w:r w:rsidRPr="0041729E">
        <w:t>es décaissements</w:t>
      </w:r>
      <w:r>
        <w:t> </w:t>
      </w:r>
      <w:r w:rsidRPr="0041729E">
        <w:t>:</w:t>
      </w:r>
    </w:p>
    <w:p w14:paraId="3C2A1987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n</w:t>
      </w:r>
      <w:r w:rsidRPr="0041729E">
        <w:t>écessité d’acheter des marchandises pour se constituer un stock</w:t>
      </w:r>
      <w:r>
        <w:rPr>
          <w:rFonts w:hint="eastAsia"/>
        </w:rPr>
        <w:t> </w:t>
      </w:r>
      <w:r>
        <w:t>;</w:t>
      </w:r>
    </w:p>
    <w:p w14:paraId="36221B7F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p</w:t>
      </w:r>
      <w:r w:rsidRPr="0041729E">
        <w:t>arce que la durée de stockage est trop longue</w:t>
      </w:r>
      <w:r>
        <w:rPr>
          <w:rFonts w:hint="eastAsia"/>
        </w:rPr>
        <w:t> </w:t>
      </w:r>
      <w:r>
        <w:t>:</w:t>
      </w:r>
    </w:p>
    <w:p w14:paraId="5585AD9A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à</w:t>
      </w:r>
      <w:r w:rsidRPr="0041729E">
        <w:t xml:space="preserve"> cause d’un crédit fournisseur trop court</w:t>
      </w:r>
      <w:r>
        <w:rPr>
          <w:rFonts w:hint="eastAsia"/>
        </w:rPr>
        <w:t> </w:t>
      </w:r>
      <w:r>
        <w:t>;</w:t>
      </w:r>
    </w:p>
    <w:p w14:paraId="0461DE51" w14:textId="77777777" w:rsidR="0017113F" w:rsidRPr="0041729E" w:rsidRDefault="0017113F" w:rsidP="0017113F">
      <w:pPr>
        <w:pStyle w:val="GuidePedagogiqueTitre7Rponses"/>
      </w:pPr>
      <w:r>
        <w:rPr>
          <w:rFonts w:ascii="Times New Roman" w:hAnsi="Times New Roman"/>
        </w:rPr>
        <w:t>–</w:t>
      </w:r>
      <w:r>
        <w:t xml:space="preserve"> à</w:t>
      </w:r>
      <w:r w:rsidRPr="0041729E">
        <w:t xml:space="preserve"> cause des paiements des charges liées au fonctionnement de l’unité commerciale.</w:t>
      </w:r>
    </w:p>
    <w:p w14:paraId="3C209C15" w14:textId="77777777" w:rsidR="006E0249" w:rsidRDefault="006E0249"/>
    <w:sectPr w:rsidR="006E0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idePedagogique">
    <w:altName w:val="Times New Roman"/>
    <w:panose1 w:val="00000000000000000000"/>
    <w:charset w:val="00"/>
    <w:family w:val="roman"/>
    <w:notTrueType/>
    <w:pitch w:val="default"/>
  </w:font>
  <w:font w:name="GuidePedagoN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uidePedagoTimes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3F"/>
    <w:rsid w:val="0017113F"/>
    <w:rsid w:val="006E0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8CB19"/>
  <w15:chartTrackingRefBased/>
  <w15:docId w15:val="{3E81F3B8-B81D-428D-972F-67A51CCFB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uidePedagogiqueTitre5Missionsnumros">
    <w:name w:val="GuidePedagogique_Titre 5_Missions numéros"/>
    <w:basedOn w:val="Normal"/>
    <w:link w:val="GuidePedagogiqueTitre5MissionsnumrosCar"/>
    <w:qFormat/>
    <w:rsid w:val="0017113F"/>
    <w:pPr>
      <w:keepNext/>
      <w:keepLines/>
      <w:widowControl w:val="0"/>
      <w:tabs>
        <w:tab w:val="left" w:pos="560"/>
      </w:tabs>
      <w:suppressAutoHyphens/>
      <w:autoSpaceDE w:val="0"/>
      <w:autoSpaceDN w:val="0"/>
      <w:adjustRightInd w:val="0"/>
      <w:spacing w:before="340" w:after="113" w:line="310" w:lineRule="atLeast"/>
      <w:ind w:left="567" w:hanging="567"/>
      <w:textAlignment w:val="center"/>
    </w:pPr>
    <w:rPr>
      <w:rFonts w:ascii="GuidePedagogique" w:hAnsi="GuidePedagogique" w:cs="GuidePedagoNCond"/>
      <w:color w:val="000000"/>
      <w:sz w:val="25"/>
      <w:szCs w:val="25"/>
    </w:rPr>
  </w:style>
  <w:style w:type="paragraph" w:customStyle="1" w:styleId="GuidePedagogiqueTitre6Consignes">
    <w:name w:val="GuidePedagogique_Titre 6_Consignes"/>
    <w:basedOn w:val="Normal"/>
    <w:link w:val="GuidePedagogiqueTitre6ConsignesCar"/>
    <w:qFormat/>
    <w:rsid w:val="0017113F"/>
    <w:pPr>
      <w:keepNext/>
      <w:widowControl w:val="0"/>
      <w:suppressAutoHyphens/>
      <w:autoSpaceDE w:val="0"/>
      <w:autoSpaceDN w:val="0"/>
      <w:adjustRightInd w:val="0"/>
      <w:spacing w:before="120" w:after="60" w:line="270" w:lineRule="atLeast"/>
      <w:jc w:val="both"/>
      <w:textAlignment w:val="center"/>
    </w:pPr>
    <w:rPr>
      <w:rFonts w:ascii="GuidePedagogique" w:hAnsi="GuidePedagogique" w:cs="GuidePedagoTimes-Bold"/>
      <w:b/>
      <w:bCs/>
      <w:spacing w:val="-1"/>
      <w:sz w:val="23"/>
      <w:szCs w:val="23"/>
    </w:rPr>
  </w:style>
  <w:style w:type="character" w:customStyle="1" w:styleId="GuidePedagogiqueTitre5MissionsnumrosCar">
    <w:name w:val="GuidePedagogique_Titre 5_Missions numéros Car"/>
    <w:basedOn w:val="Policepardfaut"/>
    <w:link w:val="GuidePedagogiqueTitre5Missionsnumros"/>
    <w:rsid w:val="0017113F"/>
    <w:rPr>
      <w:rFonts w:ascii="GuidePedagogique" w:eastAsia="Times New Roman" w:hAnsi="GuidePedagogique" w:cs="GuidePedagoNCond"/>
      <w:color w:val="000000"/>
      <w:sz w:val="25"/>
      <w:szCs w:val="25"/>
      <w:lang w:eastAsia="fr-FR"/>
    </w:rPr>
  </w:style>
  <w:style w:type="paragraph" w:customStyle="1" w:styleId="GuidePedagogiqueTitre7Rponses">
    <w:name w:val="GuidePedagogique_Titre 7_Réponses"/>
    <w:basedOn w:val="Normal"/>
    <w:link w:val="GuidePedagogiqueTitre7RponsesCar"/>
    <w:qFormat/>
    <w:rsid w:val="0017113F"/>
    <w:rPr>
      <w:rFonts w:ascii="GuidePedagogique" w:hAnsi="GuidePedagogique"/>
      <w:sz w:val="22"/>
      <w:szCs w:val="22"/>
    </w:rPr>
  </w:style>
  <w:style w:type="character" w:customStyle="1" w:styleId="GuidePedagogiqueTitre6ConsignesCar">
    <w:name w:val="GuidePedagogique_Titre 6_Consignes Car"/>
    <w:basedOn w:val="Policepardfaut"/>
    <w:link w:val="GuidePedagogiqueTitre6Consignes"/>
    <w:rsid w:val="0017113F"/>
    <w:rPr>
      <w:rFonts w:ascii="GuidePedagogique" w:eastAsia="Times New Roman" w:hAnsi="GuidePedagogique" w:cs="GuidePedagoTimes-Bold"/>
      <w:b/>
      <w:bCs/>
      <w:spacing w:val="-1"/>
      <w:sz w:val="23"/>
      <w:szCs w:val="23"/>
      <w:lang w:eastAsia="fr-FR"/>
    </w:rPr>
  </w:style>
  <w:style w:type="character" w:customStyle="1" w:styleId="GuidePedagogiqueTitre7RponsesCar">
    <w:name w:val="GuidePedagogique_Titre 7_Réponses Car"/>
    <w:basedOn w:val="Policepardfaut"/>
    <w:link w:val="GuidePedagogiqueTitre7Rponses"/>
    <w:rsid w:val="0017113F"/>
    <w:rPr>
      <w:rFonts w:ascii="GuidePedagogique" w:eastAsia="Times New Roman" w:hAnsi="GuidePedagogique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3042</Characters>
  <Application>Microsoft Office Word</Application>
  <DocSecurity>0</DocSecurity>
  <Lines>25</Lines>
  <Paragraphs>7</Paragraphs>
  <ScaleCrop>false</ScaleCrop>
  <Company/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JEANGEOT CLARA</dc:creator>
  <cp:keywords/>
  <dc:description/>
  <cp:lastModifiedBy>JEANGEOT CLARA</cp:lastModifiedBy>
  <cp:revision>1</cp:revision>
  <dcterms:created xsi:type="dcterms:W3CDTF">2021-07-01T16:08:00Z</dcterms:created>
  <dcterms:modified xsi:type="dcterms:W3CDTF">2021-07-01T16:08:00Z</dcterms:modified>
</cp:coreProperties>
</file>