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403BC" w14:textId="77777777" w:rsidR="00EB7470" w:rsidRDefault="00EB7470" w:rsidP="00EB7470">
      <w:pPr>
        <w:pStyle w:val="GuidePedagogiqueTitre5Missionsnumros"/>
        <w:rPr>
          <w:rFonts w:eastAsiaTheme="majorEastAsia"/>
        </w:rPr>
      </w:pPr>
      <w:r w:rsidRPr="00893A5E">
        <w:rPr>
          <w:rFonts w:eastAsiaTheme="majorEastAsia"/>
        </w:rPr>
        <w:t xml:space="preserve">Exercice </w:t>
      </w:r>
      <w:r>
        <w:rPr>
          <w:rFonts w:eastAsiaTheme="majorEastAsia"/>
        </w:rPr>
        <w:t>5</w:t>
      </w:r>
    </w:p>
    <w:p w14:paraId="2B600DA1" w14:textId="77777777" w:rsidR="00EB7470" w:rsidRDefault="00EB7470" w:rsidP="00EB7470">
      <w:pPr>
        <w:pStyle w:val="GuidePedagogiqueTitre6Consignes"/>
      </w:pPr>
      <w:r>
        <w:t xml:space="preserve">1. Représentez les étapes et calculez la durée du cycle d’exploitation pour les deux types de clientèle de </w:t>
      </w:r>
      <w:proofErr w:type="spellStart"/>
      <w:r>
        <w:t>Confici</w:t>
      </w:r>
      <w:proofErr w:type="spellEnd"/>
      <w:r>
        <w:t>.</w:t>
      </w:r>
    </w:p>
    <w:p w14:paraId="1EF79429" w14:textId="77777777" w:rsidR="00EB7470" w:rsidRPr="00D9371F" w:rsidRDefault="00EB7470" w:rsidP="00EB7470">
      <w:pPr>
        <w:pStyle w:val="GuidePedagogiqueTitre7Rponses"/>
        <w:rPr>
          <w:b/>
        </w:rPr>
      </w:pPr>
      <w:r w:rsidRPr="00D9371F">
        <w:rPr>
          <w:b/>
        </w:rPr>
        <w:t>Ventes aux particuliers</w:t>
      </w:r>
    </w:p>
    <w:p w14:paraId="1AFBA4FD" w14:textId="77777777" w:rsidR="00EB7470" w:rsidRDefault="00EB7470" w:rsidP="00EB7470">
      <w:pPr>
        <w:ind w:left="426"/>
        <w:jc w:val="center"/>
        <w:rPr>
          <w:b/>
          <w:bCs/>
          <w:iCs/>
        </w:rPr>
      </w:pPr>
      <w:r>
        <w:rPr>
          <w:b/>
          <w:bCs/>
          <w:iCs/>
          <w:noProof/>
        </w:rPr>
        <w:drawing>
          <wp:inline distT="0" distB="0" distL="0" distR="0" wp14:anchorId="04C95B8F" wp14:editId="3BCA3838">
            <wp:extent cx="4819650" cy="136514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022" cy="1369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54B50" w14:textId="77777777" w:rsidR="00EB7470" w:rsidRDefault="00EB7470" w:rsidP="00EB7470">
      <w:pPr>
        <w:pStyle w:val="GuidePedagogiqueTitre7Rponses"/>
      </w:pPr>
      <w:r w:rsidRPr="0030788F">
        <w:t xml:space="preserve">Durée du cycle </w:t>
      </w:r>
      <w:r>
        <w:t>d’exploitation :</w:t>
      </w:r>
      <w:r w:rsidRPr="0030788F">
        <w:t xml:space="preserve"> 30 jours de stockage = </w:t>
      </w:r>
      <w:r>
        <w:t>3</w:t>
      </w:r>
      <w:r w:rsidRPr="0030788F">
        <w:t>0 jours</w:t>
      </w:r>
    </w:p>
    <w:p w14:paraId="575707E4" w14:textId="77777777" w:rsidR="00EB7470" w:rsidRDefault="00EB7470" w:rsidP="00EB7470">
      <w:pPr>
        <w:pStyle w:val="GuidePedagogiqueTitre7Rponses"/>
      </w:pPr>
    </w:p>
    <w:p w14:paraId="40D688C6" w14:textId="77777777" w:rsidR="00EB7470" w:rsidRPr="00D9371F" w:rsidRDefault="00EB7470" w:rsidP="00EB7470">
      <w:pPr>
        <w:pStyle w:val="GuidePedagogiqueTitre7Rponses"/>
        <w:rPr>
          <w:b/>
        </w:rPr>
      </w:pPr>
      <w:r w:rsidRPr="00D9371F">
        <w:rPr>
          <w:b/>
        </w:rPr>
        <w:t>Ventes aux détaillants</w:t>
      </w:r>
    </w:p>
    <w:p w14:paraId="0149F0B2" w14:textId="77777777" w:rsidR="00EB7470" w:rsidRPr="00A15D57" w:rsidRDefault="00EB7470" w:rsidP="00EB7470">
      <w:pPr>
        <w:jc w:val="center"/>
      </w:pPr>
      <w:r>
        <w:rPr>
          <w:noProof/>
        </w:rPr>
        <w:drawing>
          <wp:inline distT="0" distB="0" distL="0" distR="0" wp14:anchorId="57DB89D2" wp14:editId="1C431016">
            <wp:extent cx="4505325" cy="1619397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693" cy="1623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A38B33" w14:textId="77777777" w:rsidR="00EB7470" w:rsidRDefault="00EB7470" w:rsidP="00EB7470">
      <w:pPr>
        <w:pStyle w:val="GuidePedagogiqueTitre7Rponses"/>
        <w:rPr>
          <w:b/>
        </w:rPr>
      </w:pPr>
      <w:r w:rsidRPr="0030788F">
        <w:t xml:space="preserve">Durée du cycle </w:t>
      </w:r>
      <w:r>
        <w:t>d’exploitation :</w:t>
      </w:r>
      <w:r w:rsidRPr="0030788F">
        <w:t xml:space="preserve"> 30 jours de stockage + 30 jours de crédit clients = 60 jours</w:t>
      </w:r>
    </w:p>
    <w:p w14:paraId="791FCF49" w14:textId="77777777" w:rsidR="00EB7470" w:rsidRDefault="00EB7470" w:rsidP="00EB7470">
      <w:pPr>
        <w:pStyle w:val="GuidePedagogiqueTitre6Consignes"/>
      </w:pPr>
      <w:r>
        <w:t>2. Montrez la conséquence du fonctionnement du cycle d’exploitation sur le besoin ou la ressource de financement d’exploitation pour chacun des deux types de clientèle.</w:t>
      </w:r>
    </w:p>
    <w:p w14:paraId="54600BDB" w14:textId="77777777" w:rsidR="00EB7470" w:rsidRPr="001A5353" w:rsidRDefault="00EB7470" w:rsidP="00EB7470">
      <w:pPr>
        <w:pStyle w:val="GuidePedagogiqueTitre7Rponses"/>
      </w:pPr>
      <w:r w:rsidRPr="001A5353">
        <w:t>Dans les deux cas, on constate un besoin de financement d’exploitation.</w:t>
      </w:r>
    </w:p>
    <w:p w14:paraId="03B3BB30" w14:textId="77777777" w:rsidR="00EB7470" w:rsidRPr="001A5353" w:rsidRDefault="00EB7470" w:rsidP="00EB7470">
      <w:pPr>
        <w:pStyle w:val="GuidePedagogiqueTitre7Rponses"/>
      </w:pPr>
      <w:r w:rsidRPr="001A5353">
        <w:t>Besoin de financement en jours = Durée de stockage + Dur</w:t>
      </w:r>
      <w:r w:rsidRPr="001A5353">
        <w:rPr>
          <w:rFonts w:hint="eastAsia"/>
        </w:rPr>
        <w:t>é</w:t>
      </w:r>
      <w:r w:rsidRPr="001A5353">
        <w:t>e de crédit</w:t>
      </w:r>
      <w:r>
        <w:t xml:space="preserve"> </w:t>
      </w:r>
      <w:r w:rsidRPr="001A5353">
        <w:t>client – Dur</w:t>
      </w:r>
      <w:r w:rsidRPr="001A5353">
        <w:rPr>
          <w:rFonts w:hint="eastAsia"/>
        </w:rPr>
        <w:t>é</w:t>
      </w:r>
      <w:r w:rsidRPr="001A5353">
        <w:t>e de crédit fournisseurs.</w:t>
      </w:r>
    </w:p>
    <w:p w14:paraId="2120BFC2" w14:textId="77777777" w:rsidR="00EB7470" w:rsidRPr="001A5353" w:rsidRDefault="00EB7470" w:rsidP="00EB7470">
      <w:pPr>
        <w:pStyle w:val="GuidePedagogiqueTitre7Rponses"/>
      </w:pPr>
      <w:r w:rsidRPr="001A5353">
        <w:t xml:space="preserve">Dans le cas de la vente aux particuliers : </w:t>
      </w:r>
      <w:r>
        <w:t>b</w:t>
      </w:r>
      <w:r w:rsidRPr="001A5353">
        <w:t>esoi</w:t>
      </w:r>
      <w:r>
        <w:t>n de financement = 30 – 20 = 10 </w:t>
      </w:r>
      <w:r w:rsidRPr="001A5353">
        <w:t>j</w:t>
      </w:r>
      <w:r>
        <w:t>ours</w:t>
      </w:r>
    </w:p>
    <w:p w14:paraId="00694C79" w14:textId="77777777" w:rsidR="00EB7470" w:rsidRDefault="00EB7470" w:rsidP="00EB7470">
      <w:pPr>
        <w:pStyle w:val="GuidePedagogiqueTitre7Rponses"/>
      </w:pPr>
      <w:r w:rsidRPr="001A5353">
        <w:t xml:space="preserve">Dans le cas de la vente aux détaillants : </w:t>
      </w:r>
      <w:r>
        <w:t>b</w:t>
      </w:r>
      <w:r w:rsidRPr="001A5353">
        <w:t>esoin de financement = 30</w:t>
      </w:r>
      <w:r>
        <w:t xml:space="preserve"> </w:t>
      </w:r>
      <w:r w:rsidRPr="001A5353">
        <w:t>+</w:t>
      </w:r>
      <w:r>
        <w:t xml:space="preserve"> </w:t>
      </w:r>
      <w:r w:rsidRPr="001A5353">
        <w:t>30 – 20 = 40</w:t>
      </w:r>
      <w:r>
        <w:rPr>
          <w:rFonts w:hint="eastAsia"/>
        </w:rPr>
        <w:t> </w:t>
      </w:r>
      <w:r w:rsidRPr="001A5353">
        <w:t>j</w:t>
      </w:r>
      <w:r>
        <w:t>ours</w:t>
      </w:r>
    </w:p>
    <w:p w14:paraId="62A76D03" w14:textId="77777777" w:rsidR="00EB7470" w:rsidRPr="00305EE5" w:rsidRDefault="00EB7470" w:rsidP="00EB7470">
      <w:pPr>
        <w:pStyle w:val="GuidePedagogiqueTitre6Consignes"/>
      </w:pPr>
      <w:r w:rsidRPr="00305EE5">
        <w:t>3. Proposez des actions qui permettraient d’agir sur la durée du cycle d’exploitation.</w:t>
      </w:r>
    </w:p>
    <w:p w14:paraId="4C0DE8A1" w14:textId="77777777" w:rsidR="00EB7470" w:rsidRPr="001A5353" w:rsidRDefault="00EB7470" w:rsidP="00EB7470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</w:t>
      </w:r>
      <w:r w:rsidRPr="001A5353">
        <w:t>Dans le cas des particuliers, seule la diminution de la durée moyenne de stockage permet de réduire la durée du cycle d’exploitation.</w:t>
      </w:r>
    </w:p>
    <w:p w14:paraId="4CA236DD" w14:textId="77777777" w:rsidR="00EB7470" w:rsidRPr="001A5353" w:rsidRDefault="00EB7470" w:rsidP="00EB7470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</w:t>
      </w:r>
      <w:r w:rsidRPr="001A5353">
        <w:t>Dans le cas des détaillants, il faudrait faire diminuer la durée moyenne de stockage et accorder une durée de crédit</w:t>
      </w:r>
      <w:r>
        <w:t xml:space="preserve"> </w:t>
      </w:r>
      <w:r w:rsidRPr="001A5353">
        <w:t>client moins longue.</w:t>
      </w:r>
    </w:p>
    <w:p w14:paraId="061F95FA" w14:textId="77777777" w:rsidR="00EB7470" w:rsidRPr="001A5353" w:rsidRDefault="00EB7470" w:rsidP="00EB7470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</w:t>
      </w:r>
      <w:r w:rsidRPr="001A5353">
        <w:t>Un allongement de la durée du crédit</w:t>
      </w:r>
      <w:r>
        <w:t xml:space="preserve"> </w:t>
      </w:r>
      <w:r w:rsidRPr="001A5353">
        <w:t>fournisseur permettrait dans les deux cas une réd</w:t>
      </w:r>
      <w:r>
        <w:t>uction du besoin de financement</w:t>
      </w:r>
      <w:r w:rsidRPr="001A5353">
        <w:t>.</w:t>
      </w:r>
    </w:p>
    <w:p w14:paraId="10FFCCE8" w14:textId="77777777" w:rsidR="006E0249" w:rsidRDefault="006E0249"/>
    <w:sectPr w:rsidR="006E0249" w:rsidSect="007F0FCB">
      <w:footerReference w:type="even" r:id="rId6"/>
      <w:footerReference w:type="default" r:id="rId7"/>
      <w:pgSz w:w="11907" w:h="16839" w:code="9"/>
      <w:pgMar w:top="782" w:right="1021" w:bottom="919" w:left="680" w:header="0" w:footer="425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ide Pedago Arial">
    <w:altName w:val="Arial"/>
    <w:panose1 w:val="00000000000000000000"/>
    <w:charset w:val="00"/>
    <w:family w:val="swiss"/>
    <w:notTrueType/>
    <w:pitch w:val="variable"/>
    <w:sig w:usb0="00000001" w:usb1="4000204A" w:usb2="00000000" w:usb3="00000000" w:csb0="00000011" w:csb1="00000000"/>
  </w:font>
  <w:font w:name="Guide Pedago NCon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11" w:csb1="00000000"/>
  </w:font>
  <w:font w:name="GuidePedagogique">
    <w:altName w:val="Times New Roman"/>
    <w:panose1 w:val="00000000000000000000"/>
    <w:charset w:val="00"/>
    <w:family w:val="roman"/>
    <w:notTrueType/>
    <w:pitch w:val="default"/>
  </w:font>
  <w:font w:name="GuidePedagoN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CCEAD1" w14:textId="77777777" w:rsidR="00B9137F" w:rsidRPr="004016EA" w:rsidRDefault="00EB7470" w:rsidP="00AD7D0B">
    <w:pPr>
      <w:pStyle w:val="Pieddepagegauche"/>
      <w:tabs>
        <w:tab w:val="clear" w:pos="7340"/>
        <w:tab w:val="right" w:pos="9072"/>
      </w:tabs>
      <w:rPr>
        <w:w w:val="100"/>
      </w:rPr>
    </w:pPr>
    <w:r>
      <w:rPr>
        <w:rStyle w:val="Folio"/>
        <w:b/>
        <w:bCs/>
      </w:rPr>
      <w:fldChar w:fldCharType="begin"/>
    </w:r>
    <w:r>
      <w:rPr>
        <w:rStyle w:val="Folio"/>
      </w:rPr>
      <w:instrText xml:space="preserve"> PAGE </w:instrText>
    </w:r>
    <w:r>
      <w:rPr>
        <w:rStyle w:val="Folio"/>
        <w:b/>
        <w:bCs/>
      </w:rPr>
      <w:fldChar w:fldCharType="separate"/>
    </w:r>
    <w:r>
      <w:rPr>
        <w:rStyle w:val="Folio"/>
        <w:noProof/>
      </w:rPr>
      <w:t>6</w:t>
    </w:r>
    <w:r>
      <w:rPr>
        <w:rStyle w:val="Folio"/>
        <w:b/>
        <w:bCs/>
      </w:rPr>
      <w:fldChar w:fldCharType="end"/>
    </w:r>
    <w:r>
      <w:rPr>
        <w:rStyle w:val="Folio"/>
      </w:rPr>
      <w:t xml:space="preserve"> </w:t>
    </w:r>
    <w:r>
      <w:rPr>
        <w:w w:val="100"/>
      </w:rPr>
      <w:tab/>
      <w:t xml:space="preserve">Situation professionnelle – </w:t>
    </w:r>
    <w:proofErr w:type="spellStart"/>
    <w:r>
      <w:rPr>
        <w:w w:val="100"/>
      </w:rPr>
      <w:t>Notra</w:t>
    </w:r>
    <w:proofErr w:type="spellEnd"/>
    <w:r>
      <w:rPr>
        <w:w w:val="100"/>
      </w:rPr>
      <w:t>-K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C0430" w14:textId="77777777" w:rsidR="00B9137F" w:rsidRDefault="00EB7470" w:rsidP="00AD7D0B">
    <w:pPr>
      <w:pStyle w:val="Pieddepagedroite"/>
    </w:pPr>
    <w:r>
      <w:rPr>
        <w:rStyle w:val="Bold"/>
      </w:rPr>
      <w:t>Chapitre 1</w:t>
    </w:r>
    <w:r>
      <w:t xml:space="preserve"> –</w:t>
    </w:r>
    <w:r>
      <w:rPr>
        <w:rFonts w:ascii="DINOT-Bold" w:hAnsi="DINOT-Bold" w:cs="DINOT-Bold"/>
        <w:b/>
        <w:bCs/>
      </w:rPr>
      <w:t xml:space="preserve"> Comprendre le cycle d’exploitation</w:t>
    </w:r>
    <w:r>
      <w:tab/>
    </w:r>
    <w:r>
      <w:rPr>
        <w:rStyle w:val="Folio"/>
      </w:rPr>
      <w:fldChar w:fldCharType="begin"/>
    </w:r>
    <w:r>
      <w:rPr>
        <w:rStyle w:val="Folio"/>
      </w:rPr>
      <w:instrText xml:space="preserve"> PAGE </w:instrText>
    </w:r>
    <w:r>
      <w:rPr>
        <w:rStyle w:val="Folio"/>
      </w:rPr>
      <w:fldChar w:fldCharType="separate"/>
    </w:r>
    <w:r>
      <w:rPr>
        <w:rStyle w:val="Folio"/>
        <w:noProof/>
      </w:rPr>
      <w:t>1</w:t>
    </w:r>
    <w:r>
      <w:rPr>
        <w:rStyle w:val="Folio"/>
      </w:rPr>
      <w:fldChar w:fldCharType="end"/>
    </w:r>
    <w:r>
      <w:rPr>
        <w:rStyle w:val="Folio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70"/>
    <w:rsid w:val="006E0249"/>
    <w:rsid w:val="00EB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6A4C"/>
  <w15:chartTrackingRefBased/>
  <w15:docId w15:val="{772DF670-F996-4353-8972-2F0C846B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droite">
    <w:name w:val="Pied de page droite"/>
    <w:rsid w:val="00EB7470"/>
    <w:pPr>
      <w:widowControl w:val="0"/>
      <w:tabs>
        <w:tab w:val="right" w:pos="10206"/>
      </w:tabs>
      <w:suppressAutoHyphens/>
      <w:autoSpaceDE w:val="0"/>
      <w:autoSpaceDN w:val="0"/>
      <w:adjustRightInd w:val="0"/>
      <w:spacing w:after="0" w:line="240" w:lineRule="atLeast"/>
    </w:pPr>
    <w:rPr>
      <w:rFonts w:ascii="Guide Pedago Arial" w:eastAsia="Times New Roman" w:hAnsi="Guide Pedago Arial" w:cs="Guide Pedago Arial"/>
      <w:color w:val="000000"/>
      <w:sz w:val="17"/>
      <w:szCs w:val="17"/>
      <w:lang w:eastAsia="fr-FR"/>
    </w:rPr>
  </w:style>
  <w:style w:type="character" w:customStyle="1" w:styleId="Bold">
    <w:name w:val="Bold"/>
    <w:rsid w:val="00EB7470"/>
    <w:rPr>
      <w:b/>
      <w:bCs/>
    </w:rPr>
  </w:style>
  <w:style w:type="character" w:customStyle="1" w:styleId="Folio">
    <w:name w:val="Folio"/>
    <w:rsid w:val="00EB7470"/>
    <w:rPr>
      <w:rFonts w:ascii="Guide Pedago NCond" w:hAnsi="Guide Pedago NCond" w:cs="Guide Pedago NCond"/>
      <w:b/>
      <w:bCs/>
      <w:color w:val="000000"/>
      <w:spacing w:val="0"/>
      <w:w w:val="100"/>
      <w:sz w:val="20"/>
      <w:szCs w:val="20"/>
      <w:u w:val="none"/>
      <w:vertAlign w:val="baseline"/>
      <w:lang w:val="fr-FR"/>
    </w:rPr>
  </w:style>
  <w:style w:type="paragraph" w:customStyle="1" w:styleId="Pieddepagegauche">
    <w:name w:val="Pied de page gauche"/>
    <w:rsid w:val="00EB7470"/>
    <w:pPr>
      <w:widowControl w:val="0"/>
      <w:tabs>
        <w:tab w:val="right" w:pos="7340"/>
      </w:tabs>
      <w:suppressAutoHyphens/>
      <w:autoSpaceDE w:val="0"/>
      <w:autoSpaceDN w:val="0"/>
      <w:adjustRightInd w:val="0"/>
      <w:spacing w:after="0" w:line="200" w:lineRule="atLeast"/>
      <w:jc w:val="both"/>
    </w:pPr>
    <w:rPr>
      <w:rFonts w:ascii="Guide Pedago Arial" w:eastAsia="Times New Roman" w:hAnsi="Guide Pedago Arial" w:cs="Guide Pedago Arial"/>
      <w:b/>
      <w:bCs/>
      <w:color w:val="000000"/>
      <w:w w:val="0"/>
      <w:sz w:val="16"/>
      <w:szCs w:val="16"/>
      <w:lang w:eastAsia="fr-FR"/>
    </w:rPr>
  </w:style>
  <w:style w:type="paragraph" w:customStyle="1" w:styleId="GuidePedagogiqueTitre5Missionsnumros">
    <w:name w:val="GuidePedagogique_Titre 5_Missions numéros"/>
    <w:basedOn w:val="Normal"/>
    <w:link w:val="GuidePedagogiqueTitre5MissionsnumrosCar"/>
    <w:qFormat/>
    <w:rsid w:val="00EB7470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gique" w:hAnsi="GuidePedagogique" w:cs="GuidePedagoNCond"/>
      <w:color w:val="000000"/>
      <w:sz w:val="25"/>
      <w:szCs w:val="25"/>
    </w:rPr>
  </w:style>
  <w:style w:type="paragraph" w:customStyle="1" w:styleId="GuidePedagogiqueTitre6Consignes">
    <w:name w:val="GuidePedagogique_Titre 6_Consignes"/>
    <w:basedOn w:val="Normal"/>
    <w:link w:val="GuidePedagogiqueTitre6ConsignesCar"/>
    <w:qFormat/>
    <w:rsid w:val="00EB7470"/>
    <w:pPr>
      <w:keepNext/>
      <w:widowControl w:val="0"/>
      <w:suppressAutoHyphens/>
      <w:autoSpaceDE w:val="0"/>
      <w:autoSpaceDN w:val="0"/>
      <w:adjustRightInd w:val="0"/>
      <w:spacing w:before="120" w:after="60" w:line="270" w:lineRule="atLeast"/>
      <w:jc w:val="both"/>
      <w:textAlignment w:val="center"/>
    </w:pPr>
    <w:rPr>
      <w:rFonts w:ascii="GuidePedagogique" w:hAnsi="GuidePedagogique" w:cs="GuidePedagoTimes-Bold"/>
      <w:b/>
      <w:bCs/>
      <w:spacing w:val="-1"/>
      <w:sz w:val="23"/>
      <w:szCs w:val="23"/>
    </w:rPr>
  </w:style>
  <w:style w:type="character" w:customStyle="1" w:styleId="GuidePedagogiqueTitre5MissionsnumrosCar">
    <w:name w:val="GuidePedagogique_Titre 5_Missions numéros Car"/>
    <w:basedOn w:val="Policepardfaut"/>
    <w:link w:val="GuidePedagogiqueTitre5Missionsnumros"/>
    <w:rsid w:val="00EB7470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EB7470"/>
    <w:rPr>
      <w:rFonts w:ascii="GuidePedagogique" w:hAnsi="GuidePedagogique"/>
      <w:sz w:val="22"/>
      <w:szCs w:val="22"/>
    </w:rPr>
  </w:style>
  <w:style w:type="character" w:customStyle="1" w:styleId="GuidePedagogiqueTitre6ConsignesCar">
    <w:name w:val="GuidePedagogique_Titre 6_Consignes Car"/>
    <w:basedOn w:val="Policepardfaut"/>
    <w:link w:val="GuidePedagogiqueTitre6Consignes"/>
    <w:rsid w:val="00EB7470"/>
    <w:rPr>
      <w:rFonts w:ascii="GuidePedagogique" w:eastAsia="Times New Roman" w:hAnsi="GuidePedagogique" w:cs="GuidePedagoTimes-Bold"/>
      <w:b/>
      <w:bCs/>
      <w:spacing w:val="-1"/>
      <w:sz w:val="23"/>
      <w:szCs w:val="23"/>
      <w:lang w:eastAsia="fr-FR"/>
    </w:rPr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EB7470"/>
    <w:rPr>
      <w:rFonts w:ascii="GuidePedagogique" w:eastAsia="Times New Roman" w:hAnsi="GuidePedagogique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JEANGEOT CLARA</dc:creator>
  <cp:keywords/>
  <dc:description/>
  <cp:lastModifiedBy>JEANGEOT CLARA</cp:lastModifiedBy>
  <cp:revision>1</cp:revision>
  <dcterms:created xsi:type="dcterms:W3CDTF">2021-07-01T16:09:00Z</dcterms:created>
  <dcterms:modified xsi:type="dcterms:W3CDTF">2021-07-01T16:09:00Z</dcterms:modified>
</cp:coreProperties>
</file>