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2072" w14:textId="55F1AEBF" w:rsidR="00BA05E8" w:rsidRPr="002F3265" w:rsidRDefault="00BA05E8" w:rsidP="00BA05E8">
      <w:pPr>
        <w:pStyle w:val="TTextecourant"/>
        <w:spacing w:line="240" w:lineRule="auto"/>
        <w:rPr>
          <w:rFonts w:ascii="Times New Roman" w:hAnsi="Times New Roman" w:cs="Times New Roman"/>
          <w:b/>
          <w:bCs/>
          <w:sz w:val="28"/>
          <w:szCs w:val="28"/>
        </w:rPr>
      </w:pPr>
      <w:r w:rsidRPr="00880100">
        <w:rPr>
          <w:noProof/>
          <w:color w:val="0070C0"/>
          <w:sz w:val="24"/>
          <w:szCs w:val="24"/>
        </w:rPr>
        <w:drawing>
          <wp:anchor distT="0" distB="0" distL="114300" distR="114300" simplePos="0" relativeHeight="251659264" behindDoc="0" locked="0" layoutInCell="1" allowOverlap="1" wp14:anchorId="22C99A2F" wp14:editId="2B2CCB4D">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70C0"/>
          <w:sz w:val="28"/>
          <w:szCs w:val="28"/>
        </w:rPr>
        <w:t>3</w:t>
      </w:r>
      <w:r w:rsidRPr="002F3265">
        <w:rPr>
          <w:rFonts w:ascii="Times New Roman" w:hAnsi="Times New Roman" w:cs="Times New Roman"/>
          <w:b/>
          <w:bCs/>
          <w:sz w:val="28"/>
          <w:szCs w:val="28"/>
        </w:rPr>
        <w:t xml:space="preserve"> </w:t>
      </w:r>
      <w:r w:rsidR="001A70A6">
        <w:rPr>
          <w:rFonts w:ascii="Times New Roman" w:hAnsi="Times New Roman" w:cs="Times New Roman"/>
          <w:b/>
          <w:bCs/>
          <w:sz w:val="28"/>
          <w:szCs w:val="28"/>
        </w:rPr>
        <w:t>L’organisation du système judiciaire</w:t>
      </w:r>
    </w:p>
    <w:p w14:paraId="2CF76B37" w14:textId="77777777" w:rsidR="00BA05E8" w:rsidRPr="00880100" w:rsidRDefault="00BA05E8" w:rsidP="00BA05E8">
      <w:pPr>
        <w:pStyle w:val="TTextecourant"/>
        <w:spacing w:line="240" w:lineRule="auto"/>
        <w:rPr>
          <w:rFonts w:ascii="Times New Roman" w:hAnsi="Times New Roman" w:cs="Times New Roman"/>
          <w:sz w:val="24"/>
          <w:szCs w:val="24"/>
        </w:rPr>
      </w:pPr>
    </w:p>
    <w:p w14:paraId="2AD8E07E" w14:textId="77777777" w:rsidR="00BA05E8" w:rsidRPr="00880100" w:rsidRDefault="00BA05E8" w:rsidP="00BA05E8">
      <w:pPr>
        <w:pStyle w:val="TTextecourant"/>
        <w:spacing w:line="240" w:lineRule="auto"/>
        <w:rPr>
          <w:rFonts w:ascii="Times New Roman" w:hAnsi="Times New Roman" w:cs="Times New Roman"/>
          <w:sz w:val="24"/>
          <w:szCs w:val="24"/>
        </w:rPr>
      </w:pPr>
    </w:p>
    <w:p w14:paraId="5D290E80" w14:textId="77777777" w:rsidR="00BA05E8" w:rsidRDefault="00BA05E8" w:rsidP="00BA05E8">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0B1E1E58" w14:textId="77777777" w:rsidR="00BA05E8" w:rsidRPr="00880100" w:rsidRDefault="00BA05E8" w:rsidP="00BA05E8">
      <w:pPr>
        <w:pStyle w:val="Default"/>
        <w:rPr>
          <w:color w:val="auto"/>
          <w:sz w:val="23"/>
          <w:szCs w:val="23"/>
        </w:rPr>
      </w:pPr>
    </w:p>
    <w:p w14:paraId="1D7EC148" w14:textId="77777777" w:rsidR="00BA05E8" w:rsidRPr="00880100" w:rsidRDefault="00BA05E8" w:rsidP="00BA05E8">
      <w:pPr>
        <w:pStyle w:val="Default"/>
        <w:rPr>
          <w:color w:val="auto"/>
          <w:sz w:val="23"/>
          <w:szCs w:val="23"/>
        </w:rPr>
      </w:pPr>
    </w:p>
    <w:p w14:paraId="1A2E8400" w14:textId="33C9AF4D" w:rsidR="006127E7" w:rsidRPr="00FB4405" w:rsidRDefault="006127E7" w:rsidP="006127E7">
      <w:pPr>
        <w:spacing w:after="0" w:line="240" w:lineRule="auto"/>
        <w:jc w:val="left"/>
        <w:rPr>
          <w:rFonts w:ascii="Times New Roman" w:hAnsi="Times New Roman" w:cs="Arial"/>
          <w:b/>
          <w:bCs/>
        </w:rPr>
      </w:pPr>
      <w:r w:rsidRPr="001A70A6">
        <w:rPr>
          <w:rFonts w:ascii="Times New Roman" w:hAnsi="Times New Roman" w:cs="Arial"/>
          <w:b/>
          <w:bCs/>
          <w:color w:val="C45911" w:themeColor="accent2" w:themeShade="BF"/>
        </w:rPr>
        <w:t>1</w:t>
      </w:r>
      <w:r w:rsidRPr="00FB4405">
        <w:rPr>
          <w:rFonts w:ascii="Times New Roman" w:hAnsi="Times New Roman" w:cs="Arial"/>
          <w:b/>
          <w:bCs/>
        </w:rPr>
        <w:t xml:space="preserve"> Les principes de l'organisation judiciaire</w:t>
      </w:r>
    </w:p>
    <w:p w14:paraId="058ABC4F" w14:textId="77777777" w:rsidR="006127E7" w:rsidRPr="00071768" w:rsidRDefault="006127E7" w:rsidP="006127E7">
      <w:pPr>
        <w:spacing w:after="0" w:line="240" w:lineRule="auto"/>
        <w:jc w:val="left"/>
        <w:rPr>
          <w:rFonts w:ascii="Times New Roman" w:hAnsi="Times New Roman" w:cs="Arial"/>
        </w:rPr>
      </w:pPr>
    </w:p>
    <w:p w14:paraId="3666E10A" w14:textId="089E2017" w:rsidR="006127E7" w:rsidRPr="00FB4405" w:rsidRDefault="006127E7" w:rsidP="006127E7">
      <w:pPr>
        <w:spacing w:after="0" w:line="240" w:lineRule="auto"/>
        <w:jc w:val="left"/>
        <w:rPr>
          <w:rFonts w:ascii="Times New Roman" w:hAnsi="Times New Roman" w:cs="Arial"/>
          <w:b/>
          <w:bCs/>
        </w:rPr>
      </w:pPr>
      <w:r w:rsidRPr="001A70A6">
        <w:rPr>
          <w:rFonts w:ascii="Times New Roman" w:hAnsi="Times New Roman" w:cs="Arial"/>
          <w:b/>
          <w:bCs/>
          <w:color w:val="833C0B" w:themeColor="accent2" w:themeShade="80"/>
        </w:rPr>
        <w:t>A</w:t>
      </w:r>
      <w:r w:rsidRPr="00FB4405">
        <w:rPr>
          <w:rFonts w:ascii="Times New Roman" w:hAnsi="Times New Roman" w:cs="Arial"/>
          <w:b/>
          <w:bCs/>
        </w:rPr>
        <w:t xml:space="preserve"> La séparation des pouvoirs</w:t>
      </w:r>
    </w:p>
    <w:p w14:paraId="23D41B45" w14:textId="04762128" w:rsidR="006127E7" w:rsidRPr="00FB4405" w:rsidRDefault="006127E7" w:rsidP="006127E7">
      <w:pPr>
        <w:spacing w:after="0" w:line="240" w:lineRule="auto"/>
        <w:jc w:val="left"/>
        <w:rPr>
          <w:rFonts w:ascii="Times New Roman" w:hAnsi="Times New Roman" w:cs="Arial"/>
        </w:rPr>
      </w:pPr>
      <w:r w:rsidRPr="00FB4405">
        <w:rPr>
          <w:rFonts w:ascii="Times New Roman" w:hAnsi="Times New Roman" w:cs="Arial"/>
        </w:rPr>
        <w:t xml:space="preserve">Le principe de séparation des pouvoirs vise à séparer </w:t>
      </w:r>
      <w:proofErr w:type="gramStart"/>
      <w:r w:rsidR="00240673" w:rsidRPr="00FB4405">
        <w:rPr>
          <w:rFonts w:ascii="Times New Roman" w:hAnsi="Times New Roman" w:cs="Arial"/>
        </w:rPr>
        <w:t>les pouvoirs législatif</w:t>
      </w:r>
      <w:proofErr w:type="gramEnd"/>
      <w:r w:rsidRPr="00FB4405">
        <w:rPr>
          <w:rFonts w:ascii="Times New Roman" w:hAnsi="Times New Roman" w:cs="Arial"/>
        </w:rPr>
        <w:t xml:space="preserve">, exécutif et judiciaire. </w:t>
      </w:r>
      <w:r>
        <w:rPr>
          <w:rFonts w:ascii="Times New Roman" w:hAnsi="Times New Roman" w:cs="Arial"/>
        </w:rPr>
        <w:t xml:space="preserve">Il permet à la justice d’être indépendante. </w:t>
      </w:r>
      <w:r w:rsidRPr="00FB4405">
        <w:rPr>
          <w:rFonts w:ascii="Times New Roman" w:hAnsi="Times New Roman" w:cs="Arial"/>
        </w:rPr>
        <w:t>C</w:t>
      </w:r>
      <w:r>
        <w:rPr>
          <w:rFonts w:ascii="Times New Roman" w:hAnsi="Times New Roman" w:cs="Arial"/>
        </w:rPr>
        <w:t xml:space="preserve">’est un </w:t>
      </w:r>
      <w:r w:rsidRPr="00FB4405">
        <w:rPr>
          <w:rFonts w:ascii="Times New Roman" w:hAnsi="Times New Roman" w:cs="Arial"/>
        </w:rPr>
        <w:t>principe consacré par notre Constitution de 1958, vis</w:t>
      </w:r>
      <w:r>
        <w:rPr>
          <w:rFonts w:ascii="Times New Roman" w:hAnsi="Times New Roman" w:cs="Arial"/>
        </w:rPr>
        <w:t>ant</w:t>
      </w:r>
      <w:r w:rsidRPr="00FB4405">
        <w:rPr>
          <w:rFonts w:ascii="Times New Roman" w:hAnsi="Times New Roman" w:cs="Arial"/>
        </w:rPr>
        <w:t xml:space="preserve"> à préserver les libertés</w:t>
      </w:r>
      <w:r>
        <w:rPr>
          <w:rFonts w:ascii="Times New Roman" w:hAnsi="Times New Roman" w:cs="Arial"/>
        </w:rPr>
        <w:t>, lutter contre l’arbitraire et</w:t>
      </w:r>
      <w:r w:rsidRPr="00FB4405">
        <w:rPr>
          <w:rFonts w:ascii="Times New Roman" w:hAnsi="Times New Roman" w:cs="Arial"/>
        </w:rPr>
        <w:t xml:space="preserve"> protéger les droits des citoyens. </w:t>
      </w:r>
    </w:p>
    <w:p w14:paraId="1B26E95B" w14:textId="77777777" w:rsidR="006127E7" w:rsidRPr="00A65CE4" w:rsidRDefault="006127E7" w:rsidP="006127E7">
      <w:pPr>
        <w:spacing w:after="0" w:line="240" w:lineRule="auto"/>
        <w:jc w:val="left"/>
        <w:rPr>
          <w:rFonts w:ascii="Times New Roman" w:hAnsi="Times New Roman" w:cs="Arial"/>
        </w:rPr>
      </w:pPr>
    </w:p>
    <w:p w14:paraId="3ED2FFE1" w14:textId="335390A2" w:rsidR="006127E7" w:rsidRPr="00FB4405" w:rsidRDefault="006127E7" w:rsidP="006127E7">
      <w:pPr>
        <w:spacing w:after="0" w:line="240" w:lineRule="auto"/>
        <w:jc w:val="left"/>
        <w:rPr>
          <w:rFonts w:ascii="Times New Roman" w:hAnsi="Times New Roman" w:cs="Arial"/>
          <w:b/>
          <w:bCs/>
        </w:rPr>
      </w:pPr>
      <w:r w:rsidRPr="001A70A6">
        <w:rPr>
          <w:rFonts w:ascii="Times New Roman" w:hAnsi="Times New Roman" w:cs="Arial"/>
          <w:b/>
          <w:bCs/>
          <w:color w:val="833C0B" w:themeColor="accent2" w:themeShade="80"/>
        </w:rPr>
        <w:t>B</w:t>
      </w:r>
      <w:r w:rsidRPr="00FB4405">
        <w:rPr>
          <w:rFonts w:ascii="Times New Roman" w:hAnsi="Times New Roman" w:cs="Arial"/>
          <w:b/>
          <w:bCs/>
        </w:rPr>
        <w:t xml:space="preserve"> Deux ordres et deux degrés de juridiction</w:t>
      </w:r>
    </w:p>
    <w:p w14:paraId="3FAF40F1" w14:textId="77777777" w:rsidR="006127E7" w:rsidRPr="00FB4405" w:rsidRDefault="006127E7" w:rsidP="006127E7">
      <w:pPr>
        <w:spacing w:after="0" w:line="240" w:lineRule="auto"/>
        <w:jc w:val="left"/>
        <w:rPr>
          <w:rFonts w:ascii="Times New Roman" w:hAnsi="Times New Roman" w:cs="Arial"/>
        </w:rPr>
      </w:pPr>
      <w:r w:rsidRPr="00FB4405">
        <w:rPr>
          <w:rFonts w:ascii="Times New Roman" w:hAnsi="Times New Roman" w:cs="Arial"/>
        </w:rPr>
        <w:t>On distingue deux ordres de juridiction : les juridictions de l’ordre judiciaire d’une part, compétentes pour appliquer les règles de droit privé entre particuliers (ex. : litiges familiaux) et pour sanctionner les infractions (ex. : vol) ; et les juridictions de l’ordre administratif d’autre part, compétentes pour appliquer les règles de droit public dans les litiges impliquant l’État, des collectivités territoriales et les particuliers (ex. : contestation d’une décision administrative). En cas de désaccord entre tribunaux judiciaires et administratifs, c’est le Tribunal des conflits qui va trancher et déterminer la juridiction compétente.</w:t>
      </w:r>
    </w:p>
    <w:p w14:paraId="415B2E19" w14:textId="322AA9AC" w:rsidR="006127E7" w:rsidRPr="00FB4405" w:rsidRDefault="006127E7" w:rsidP="006127E7">
      <w:pPr>
        <w:spacing w:after="0" w:line="240" w:lineRule="auto"/>
        <w:jc w:val="left"/>
        <w:rPr>
          <w:rFonts w:ascii="Times New Roman" w:hAnsi="Times New Roman" w:cs="Arial"/>
        </w:rPr>
      </w:pPr>
      <w:r w:rsidRPr="00FB4405">
        <w:rPr>
          <w:rFonts w:ascii="Times New Roman" w:hAnsi="Times New Roman" w:cs="Arial"/>
        </w:rPr>
        <w:t>Le principe du double degré de juridiction permet aux parties, à la suite d’un jugement rendu par une juridiction de premier degré, d'exercer un recours devant une juridiction hiérarchiquement supérieure : soit devant une cour d’appel (celle-ci rejuge l'affaire et peut décider de confirmer ou d’infirmer le jugement précédent), soit devant la Cour de cassation (celle-ci ne rejuge pas l’affaire, mais vérifie si les juges ont bien appliqué la loi – on parle de « cour suprême »). Les parties peuvent se pourvoir en cassation à la suite d’une décision rendue par un tribunal ou pour contester un arrêt rendu par une cour d’appel.</w:t>
      </w:r>
    </w:p>
    <w:p w14:paraId="62045909" w14:textId="77777777" w:rsidR="006127E7" w:rsidRPr="00071768" w:rsidRDefault="006127E7" w:rsidP="006127E7">
      <w:pPr>
        <w:spacing w:after="0" w:line="240" w:lineRule="auto"/>
        <w:jc w:val="left"/>
        <w:rPr>
          <w:rFonts w:ascii="Times New Roman" w:hAnsi="Times New Roman" w:cs="Arial"/>
        </w:rPr>
      </w:pPr>
    </w:p>
    <w:p w14:paraId="5BD893F2" w14:textId="3541CDB3" w:rsidR="006127E7" w:rsidRPr="00FB4405" w:rsidRDefault="006127E7" w:rsidP="006127E7">
      <w:pPr>
        <w:spacing w:after="0" w:line="240" w:lineRule="auto"/>
        <w:jc w:val="left"/>
        <w:rPr>
          <w:rFonts w:ascii="Times New Roman" w:hAnsi="Times New Roman" w:cs="Arial"/>
          <w:b/>
          <w:bCs/>
        </w:rPr>
      </w:pPr>
      <w:r w:rsidRPr="001A70A6">
        <w:rPr>
          <w:rFonts w:ascii="Times New Roman" w:hAnsi="Times New Roman" w:cs="Arial"/>
          <w:b/>
          <w:bCs/>
          <w:color w:val="C45911" w:themeColor="accent2" w:themeShade="BF"/>
        </w:rPr>
        <w:t>2</w:t>
      </w:r>
      <w:r w:rsidRPr="00FB4405">
        <w:rPr>
          <w:rFonts w:ascii="Times New Roman" w:hAnsi="Times New Roman" w:cs="Arial"/>
          <w:b/>
          <w:bCs/>
        </w:rPr>
        <w:t xml:space="preserve"> Les acteurs du système judiciaire</w:t>
      </w:r>
    </w:p>
    <w:p w14:paraId="1EB0976A" w14:textId="77777777" w:rsidR="006127E7" w:rsidRPr="00071768" w:rsidRDefault="006127E7" w:rsidP="006127E7">
      <w:pPr>
        <w:spacing w:after="0" w:line="240" w:lineRule="auto"/>
        <w:jc w:val="left"/>
        <w:rPr>
          <w:rFonts w:ascii="Times New Roman" w:hAnsi="Times New Roman" w:cs="Arial"/>
        </w:rPr>
      </w:pPr>
    </w:p>
    <w:p w14:paraId="77AD7194" w14:textId="3EC04399" w:rsidR="006127E7" w:rsidRPr="00FB4405" w:rsidRDefault="006127E7" w:rsidP="006127E7">
      <w:pPr>
        <w:spacing w:after="0" w:line="240" w:lineRule="auto"/>
        <w:jc w:val="left"/>
        <w:rPr>
          <w:rFonts w:ascii="Times New Roman" w:hAnsi="Times New Roman" w:cs="Arial"/>
          <w:b/>
          <w:bCs/>
        </w:rPr>
      </w:pPr>
      <w:r w:rsidRPr="001A70A6">
        <w:rPr>
          <w:rFonts w:ascii="Times New Roman" w:hAnsi="Times New Roman" w:cs="Arial"/>
          <w:b/>
          <w:bCs/>
          <w:color w:val="833C0B" w:themeColor="accent2" w:themeShade="80"/>
        </w:rPr>
        <w:t>A</w:t>
      </w:r>
      <w:r w:rsidRPr="00FB4405">
        <w:rPr>
          <w:rFonts w:ascii="Times New Roman" w:hAnsi="Times New Roman" w:cs="Arial"/>
          <w:b/>
          <w:bCs/>
        </w:rPr>
        <w:t xml:space="preserve"> Les magistrats</w:t>
      </w:r>
    </w:p>
    <w:p w14:paraId="53EB442F" w14:textId="77777777" w:rsidR="006127E7" w:rsidRPr="00FB4405" w:rsidRDefault="006127E7" w:rsidP="006127E7">
      <w:pPr>
        <w:spacing w:after="0" w:line="240" w:lineRule="auto"/>
        <w:jc w:val="left"/>
        <w:rPr>
          <w:rFonts w:ascii="Times New Roman" w:hAnsi="Times New Roman" w:cs="Arial"/>
        </w:rPr>
      </w:pPr>
      <w:r w:rsidRPr="00FB4405">
        <w:rPr>
          <w:rFonts w:ascii="Times New Roman" w:hAnsi="Times New Roman" w:cs="Arial"/>
        </w:rPr>
        <w:t>Les magistrats dépendent du ministère de la Justice. Ils conduisent les débats du tribunal et tranchent les conflits en toute indépendance. Ils statuent en position assise, d’où leur appellation de « magistrature assise ». Certaines affaires exigent parfois l’intervention de juges spécialisés (ex. : juge d’instruction, juge d’application des peines). Le parquet ou « magistrature debout » (composée des procureurs et de leurs substituts) réclame les sanctions car il défend l’intérêt de la société et assure le respect de l’ordre public.</w:t>
      </w:r>
    </w:p>
    <w:p w14:paraId="03A39E03" w14:textId="77777777" w:rsidR="006127E7" w:rsidRPr="00071768" w:rsidRDefault="006127E7" w:rsidP="006127E7">
      <w:pPr>
        <w:spacing w:after="0" w:line="240" w:lineRule="auto"/>
        <w:jc w:val="left"/>
        <w:rPr>
          <w:rFonts w:ascii="Times New Roman" w:hAnsi="Times New Roman" w:cs="Arial"/>
        </w:rPr>
      </w:pPr>
    </w:p>
    <w:p w14:paraId="0E20219B" w14:textId="70EE1FEB" w:rsidR="006127E7" w:rsidRPr="00FB4405" w:rsidRDefault="006127E7" w:rsidP="006127E7">
      <w:pPr>
        <w:spacing w:after="0" w:line="240" w:lineRule="auto"/>
        <w:jc w:val="left"/>
        <w:rPr>
          <w:rFonts w:ascii="Times New Roman" w:hAnsi="Times New Roman" w:cs="Arial"/>
          <w:b/>
          <w:bCs/>
        </w:rPr>
      </w:pPr>
      <w:r w:rsidRPr="001A70A6">
        <w:rPr>
          <w:rFonts w:ascii="Times New Roman" w:hAnsi="Times New Roman" w:cs="Arial"/>
          <w:b/>
          <w:bCs/>
          <w:color w:val="833C0B" w:themeColor="accent2" w:themeShade="80"/>
        </w:rPr>
        <w:t>B</w:t>
      </w:r>
      <w:r w:rsidRPr="00FB4405">
        <w:rPr>
          <w:rFonts w:ascii="Times New Roman" w:hAnsi="Times New Roman" w:cs="Arial"/>
          <w:b/>
          <w:bCs/>
        </w:rPr>
        <w:t xml:space="preserve"> Le personnel de justice</w:t>
      </w:r>
    </w:p>
    <w:p w14:paraId="01B5DD74" w14:textId="77777777" w:rsidR="006127E7" w:rsidRPr="00FB4405" w:rsidRDefault="006127E7" w:rsidP="006127E7">
      <w:pPr>
        <w:spacing w:after="0" w:line="240" w:lineRule="auto"/>
        <w:jc w:val="left"/>
        <w:rPr>
          <w:rFonts w:ascii="Times New Roman" w:hAnsi="Times New Roman" w:cs="Arial"/>
        </w:rPr>
      </w:pPr>
      <w:r w:rsidRPr="00FB4405">
        <w:rPr>
          <w:rFonts w:ascii="Times New Roman" w:hAnsi="Times New Roman" w:cs="Arial"/>
        </w:rPr>
        <w:t>Ils exercent la plupart du temps une profession libérale : les avocats conseillent, assistent les</w:t>
      </w:r>
      <w:r>
        <w:rPr>
          <w:rFonts w:ascii="Times New Roman" w:hAnsi="Times New Roman" w:cs="Arial"/>
        </w:rPr>
        <w:t xml:space="preserve"> </w:t>
      </w:r>
      <w:r w:rsidRPr="00FB4405">
        <w:rPr>
          <w:rFonts w:ascii="Times New Roman" w:hAnsi="Times New Roman" w:cs="Arial"/>
        </w:rPr>
        <w:t>parties d’un procès et assurent leur défense ; les greffiers assistent les juges (eux relèvent du</w:t>
      </w:r>
      <w:r>
        <w:rPr>
          <w:rFonts w:ascii="Times New Roman" w:hAnsi="Times New Roman" w:cs="Arial"/>
        </w:rPr>
        <w:t xml:space="preserve"> </w:t>
      </w:r>
      <w:r w:rsidRPr="00FB4405">
        <w:rPr>
          <w:rFonts w:ascii="Times New Roman" w:hAnsi="Times New Roman" w:cs="Arial"/>
        </w:rPr>
        <w:t>ministère de la Justice), authentifient les actes et les décisions de ces derniers ; les huissiers de</w:t>
      </w:r>
      <w:r>
        <w:rPr>
          <w:rFonts w:ascii="Times New Roman" w:hAnsi="Times New Roman" w:cs="Arial"/>
        </w:rPr>
        <w:t xml:space="preserve"> </w:t>
      </w:r>
      <w:r w:rsidRPr="00FB4405">
        <w:rPr>
          <w:rFonts w:ascii="Times New Roman" w:hAnsi="Times New Roman" w:cs="Arial"/>
        </w:rPr>
        <w:t>justice sont chargés de porter à la connaissance de l’adversaire les actes de procédure et les</w:t>
      </w:r>
      <w:r>
        <w:rPr>
          <w:rFonts w:ascii="Times New Roman" w:hAnsi="Times New Roman" w:cs="Arial"/>
        </w:rPr>
        <w:t xml:space="preserve"> </w:t>
      </w:r>
      <w:r w:rsidRPr="00FB4405">
        <w:rPr>
          <w:rFonts w:ascii="Times New Roman" w:hAnsi="Times New Roman" w:cs="Arial"/>
        </w:rPr>
        <w:t xml:space="preserve">décisions de justice afin d’assurer leur exécution. D’autres acteurs participent également au bon fonctionnement de la justice, tels les agents d’insertion et de probation ou encore les surveillants pénitentiaires, les éducateurs spécialisés qui contribuent par leurs actions à l’amélioration du système judiciaire. Enfin des juges non professionnels, désignés en raison de leurs compétences, sont des citoyens qui participent à l’œuvre de la justice aux côtés des </w:t>
      </w:r>
      <w:r w:rsidRPr="00FB4405">
        <w:rPr>
          <w:rFonts w:ascii="Times New Roman" w:hAnsi="Times New Roman" w:cs="Arial"/>
        </w:rPr>
        <w:lastRenderedPageBreak/>
        <w:t>magistrats professionnels (ex. : assesseurs du tribunal pour enfants, conseillers prud’homaux, juge consulaire etc.).</w:t>
      </w:r>
    </w:p>
    <w:p w14:paraId="38FD49B6" w14:textId="77777777" w:rsidR="006127E7" w:rsidRPr="00071768" w:rsidRDefault="006127E7" w:rsidP="006127E7">
      <w:pPr>
        <w:spacing w:after="0" w:line="240" w:lineRule="auto"/>
        <w:jc w:val="left"/>
        <w:rPr>
          <w:rFonts w:ascii="Times New Roman" w:hAnsi="Times New Roman" w:cs="Arial"/>
        </w:rPr>
      </w:pPr>
    </w:p>
    <w:p w14:paraId="6801A927" w14:textId="387D2079" w:rsidR="006127E7" w:rsidRPr="00FB4405" w:rsidRDefault="006127E7" w:rsidP="006127E7">
      <w:pPr>
        <w:spacing w:after="0" w:line="240" w:lineRule="auto"/>
        <w:jc w:val="left"/>
        <w:rPr>
          <w:rFonts w:ascii="Times New Roman" w:hAnsi="Times New Roman" w:cs="Arial"/>
          <w:b/>
          <w:bCs/>
        </w:rPr>
      </w:pPr>
      <w:r w:rsidRPr="001A70A6">
        <w:rPr>
          <w:rFonts w:ascii="Times New Roman" w:hAnsi="Times New Roman" w:cs="Arial"/>
          <w:b/>
          <w:bCs/>
          <w:color w:val="C45911" w:themeColor="accent2" w:themeShade="BF"/>
        </w:rPr>
        <w:t>3</w:t>
      </w:r>
      <w:r w:rsidRPr="00FB4405">
        <w:rPr>
          <w:rFonts w:ascii="Times New Roman" w:hAnsi="Times New Roman" w:cs="Arial"/>
          <w:b/>
          <w:bCs/>
        </w:rPr>
        <w:t xml:space="preserve"> </w:t>
      </w:r>
      <w:r w:rsidR="00815B15">
        <w:rPr>
          <w:rFonts w:ascii="Times New Roman" w:hAnsi="Times New Roman" w:cs="Arial"/>
          <w:b/>
          <w:bCs/>
        </w:rPr>
        <w:t>Les règles de compétence</w:t>
      </w:r>
    </w:p>
    <w:p w14:paraId="22C32C70" w14:textId="77777777" w:rsidR="006127E7" w:rsidRPr="00071768" w:rsidRDefault="006127E7" w:rsidP="006127E7">
      <w:pPr>
        <w:spacing w:after="0" w:line="240" w:lineRule="auto"/>
        <w:jc w:val="left"/>
        <w:rPr>
          <w:rFonts w:ascii="Times New Roman" w:hAnsi="Times New Roman" w:cs="Arial"/>
        </w:rPr>
      </w:pPr>
    </w:p>
    <w:p w14:paraId="348C946A" w14:textId="7A4B6451" w:rsidR="006127E7" w:rsidRPr="00FB4405" w:rsidRDefault="006127E7" w:rsidP="006127E7">
      <w:pPr>
        <w:spacing w:after="0" w:line="240" w:lineRule="auto"/>
        <w:jc w:val="left"/>
        <w:rPr>
          <w:rFonts w:ascii="Times New Roman" w:hAnsi="Times New Roman" w:cs="Arial"/>
          <w:b/>
          <w:bCs/>
        </w:rPr>
      </w:pPr>
      <w:r w:rsidRPr="001A70A6">
        <w:rPr>
          <w:rFonts w:ascii="Times New Roman" w:hAnsi="Times New Roman" w:cs="Arial"/>
          <w:b/>
          <w:bCs/>
          <w:color w:val="833C0B" w:themeColor="accent2" w:themeShade="80"/>
        </w:rPr>
        <w:t>A</w:t>
      </w:r>
      <w:r w:rsidRPr="00FB4405">
        <w:rPr>
          <w:rFonts w:ascii="Times New Roman" w:hAnsi="Times New Roman" w:cs="Arial"/>
          <w:b/>
          <w:bCs/>
        </w:rPr>
        <w:t xml:space="preserve"> La compétence d’attribution</w:t>
      </w:r>
    </w:p>
    <w:p w14:paraId="1026642D" w14:textId="77777777" w:rsidR="006127E7" w:rsidRPr="00FB4405" w:rsidRDefault="006127E7" w:rsidP="006127E7">
      <w:pPr>
        <w:spacing w:after="0" w:line="240" w:lineRule="auto"/>
        <w:jc w:val="left"/>
        <w:rPr>
          <w:rFonts w:ascii="Times New Roman" w:hAnsi="Times New Roman" w:cs="Arial"/>
        </w:rPr>
      </w:pPr>
      <w:r w:rsidRPr="00FB4405">
        <w:rPr>
          <w:rFonts w:ascii="Times New Roman" w:hAnsi="Times New Roman" w:cs="Arial"/>
        </w:rPr>
        <w:t>La compétence d’attribution détermine la juridiction apte à juger une affaire. Elle se détermine en fonction de la nature du litige : entre l’ordre judiciaire et l’ordre administratif, et, dans l’ordre judiciaire, entre les juridictions pénales et civiles. La compétence d’attribution s’applique pour l’ensemble des juridictions, premier, second degré et juridiction suprême.</w:t>
      </w:r>
    </w:p>
    <w:p w14:paraId="2BDDD8A2" w14:textId="77777777" w:rsidR="006127E7" w:rsidRPr="00071768" w:rsidRDefault="006127E7" w:rsidP="006127E7">
      <w:pPr>
        <w:spacing w:after="0" w:line="240" w:lineRule="auto"/>
        <w:jc w:val="left"/>
        <w:rPr>
          <w:rFonts w:ascii="Times New Roman" w:hAnsi="Times New Roman" w:cs="Arial"/>
        </w:rPr>
      </w:pPr>
    </w:p>
    <w:p w14:paraId="78CC80DC" w14:textId="395471A2" w:rsidR="006127E7" w:rsidRPr="00FB4405" w:rsidRDefault="006127E7" w:rsidP="006127E7">
      <w:pPr>
        <w:spacing w:after="0" w:line="240" w:lineRule="auto"/>
        <w:jc w:val="left"/>
        <w:rPr>
          <w:rFonts w:ascii="Times New Roman" w:hAnsi="Times New Roman" w:cs="Arial"/>
          <w:b/>
          <w:bCs/>
        </w:rPr>
      </w:pPr>
      <w:r w:rsidRPr="001A70A6">
        <w:rPr>
          <w:rFonts w:ascii="Times New Roman" w:hAnsi="Times New Roman" w:cs="Arial"/>
          <w:b/>
          <w:bCs/>
          <w:color w:val="833C0B" w:themeColor="accent2" w:themeShade="80"/>
        </w:rPr>
        <w:t>B</w:t>
      </w:r>
      <w:r w:rsidRPr="00FB4405">
        <w:rPr>
          <w:rFonts w:ascii="Times New Roman" w:hAnsi="Times New Roman" w:cs="Arial"/>
          <w:b/>
          <w:bCs/>
        </w:rPr>
        <w:t xml:space="preserve"> La compétence territoriale</w:t>
      </w:r>
    </w:p>
    <w:p w14:paraId="0D881485" w14:textId="244EBA6D" w:rsidR="00EE1F72" w:rsidRPr="00071768" w:rsidRDefault="006127E7" w:rsidP="00071768">
      <w:pPr>
        <w:spacing w:after="0" w:line="240" w:lineRule="auto"/>
        <w:jc w:val="left"/>
        <w:rPr>
          <w:rFonts w:ascii="Times New Roman" w:hAnsi="Times New Roman" w:cs="Arial"/>
        </w:rPr>
      </w:pPr>
      <w:r w:rsidRPr="00FB4405">
        <w:rPr>
          <w:rFonts w:ascii="Times New Roman" w:hAnsi="Times New Roman" w:cs="Arial"/>
        </w:rPr>
        <w:t>Elle indique quel est, parmi l’ensemble des tribunaux de même nature répartis sur le territoire,</w:t>
      </w:r>
      <w:r>
        <w:rPr>
          <w:rFonts w:ascii="Times New Roman" w:hAnsi="Times New Roman" w:cs="Arial"/>
        </w:rPr>
        <w:t xml:space="preserve"> </w:t>
      </w:r>
      <w:r w:rsidRPr="00FB4405">
        <w:rPr>
          <w:rFonts w:ascii="Times New Roman" w:hAnsi="Times New Roman" w:cs="Arial"/>
        </w:rPr>
        <w:t>celui qui devra examiner le litige. Le principe est que le tribunal compétent est le tribunal du</w:t>
      </w:r>
      <w:r>
        <w:rPr>
          <w:rFonts w:ascii="Times New Roman" w:hAnsi="Times New Roman" w:cs="Arial"/>
        </w:rPr>
        <w:t xml:space="preserve"> </w:t>
      </w:r>
      <w:r w:rsidRPr="00FB4405">
        <w:rPr>
          <w:rFonts w:ascii="Times New Roman" w:hAnsi="Times New Roman" w:cs="Arial"/>
        </w:rPr>
        <w:t>lieu du domicile du défendeur, mais ce principe admet des exceptions.</w:t>
      </w:r>
    </w:p>
    <w:sectPr w:rsidR="00EE1F72" w:rsidRPr="0007176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81E9C" w14:textId="77777777" w:rsidR="00A65CE4" w:rsidRDefault="00A65CE4" w:rsidP="00A65CE4">
      <w:pPr>
        <w:spacing w:after="0" w:line="240" w:lineRule="auto"/>
      </w:pPr>
      <w:r>
        <w:separator/>
      </w:r>
    </w:p>
  </w:endnote>
  <w:endnote w:type="continuationSeparator" w:id="0">
    <w:p w14:paraId="74F2DEC9" w14:textId="77777777" w:rsidR="00A65CE4" w:rsidRDefault="00A65CE4" w:rsidP="00A6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Times">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826994"/>
      <w:docPartObj>
        <w:docPartGallery w:val="Page Numbers (Bottom of Page)"/>
        <w:docPartUnique/>
      </w:docPartObj>
    </w:sdtPr>
    <w:sdtContent>
      <w:p w14:paraId="520C1DD6" w14:textId="09581E62" w:rsidR="00A65CE4" w:rsidRDefault="00A65CE4">
        <w:pPr>
          <w:pStyle w:val="Pieddepage"/>
          <w:jc w:val="center"/>
        </w:pPr>
        <w:r>
          <w:fldChar w:fldCharType="begin"/>
        </w:r>
        <w:r>
          <w:instrText>PAGE   \* MERGEFORMAT</w:instrText>
        </w:r>
        <w:r>
          <w:fldChar w:fldCharType="separate"/>
        </w:r>
        <w:r>
          <w:t>2</w:t>
        </w:r>
        <w:r>
          <w:fldChar w:fldCharType="end"/>
        </w:r>
        <w:r w:rsidR="008D6ED4">
          <w:t xml:space="preserve"> </w:t>
        </w:r>
        <w:r w:rsidR="008D6ED4" w:rsidRPr="00D4438B">
          <w:rPr>
            <w:rFonts w:cstheme="minorHAnsi"/>
            <w:caps/>
          </w:rPr>
          <w:t>©</w:t>
        </w:r>
        <w:r w:rsidR="008D6ED4" w:rsidRPr="00D4438B">
          <w:rPr>
            <w:caps/>
          </w:rPr>
          <w:t> FOUCHER 2023</w:t>
        </w:r>
      </w:p>
    </w:sdtContent>
  </w:sdt>
  <w:p w14:paraId="78947C88" w14:textId="77777777" w:rsidR="00A65CE4" w:rsidRDefault="00A65C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460A" w14:textId="77777777" w:rsidR="00A65CE4" w:rsidRDefault="00A65CE4" w:rsidP="00A65CE4">
      <w:pPr>
        <w:spacing w:after="0" w:line="240" w:lineRule="auto"/>
      </w:pPr>
      <w:r>
        <w:separator/>
      </w:r>
    </w:p>
  </w:footnote>
  <w:footnote w:type="continuationSeparator" w:id="0">
    <w:p w14:paraId="157964E9" w14:textId="77777777" w:rsidR="00A65CE4" w:rsidRDefault="00A65CE4" w:rsidP="00A65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E7"/>
    <w:rsid w:val="00071768"/>
    <w:rsid w:val="001A6C0E"/>
    <w:rsid w:val="001A70A6"/>
    <w:rsid w:val="00240673"/>
    <w:rsid w:val="003D668A"/>
    <w:rsid w:val="004051C4"/>
    <w:rsid w:val="005F20F0"/>
    <w:rsid w:val="006127E7"/>
    <w:rsid w:val="00630B87"/>
    <w:rsid w:val="00815B15"/>
    <w:rsid w:val="00861A9C"/>
    <w:rsid w:val="008D6ED4"/>
    <w:rsid w:val="00A65CE4"/>
    <w:rsid w:val="00BA05E8"/>
    <w:rsid w:val="00D8557B"/>
    <w:rsid w:val="00EB5CF3"/>
    <w:rsid w:val="00EE1F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A215"/>
  <w15:chartTrackingRefBased/>
  <w15:docId w15:val="{9CB544AE-91B5-4F46-8E34-843EEBBE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E7"/>
    <w:pPr>
      <w:jc w:val="both"/>
    </w:pPr>
    <w:rPr>
      <w:kern w:val="0"/>
      <w:sz w:val="24"/>
      <w14:ligatures w14:val="none"/>
    </w:rPr>
  </w:style>
  <w:style w:type="paragraph" w:styleId="Titre1">
    <w:name w:val="heading 1"/>
    <w:basedOn w:val="Normal"/>
    <w:next w:val="Normal"/>
    <w:link w:val="Titre1Car"/>
    <w:autoRedefine/>
    <w:uiPriority w:val="9"/>
    <w:qFormat/>
    <w:rsid w:val="005F20F0"/>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customStyle="1" w:styleId="TTextecourant">
    <w:name w:val="T_Texte_courant"/>
    <w:basedOn w:val="Normal"/>
    <w:uiPriority w:val="99"/>
    <w:rsid w:val="006127E7"/>
    <w:pPr>
      <w:widowControl w:val="0"/>
      <w:autoSpaceDE w:val="0"/>
      <w:autoSpaceDN w:val="0"/>
      <w:adjustRightInd w:val="0"/>
      <w:spacing w:after="0" w:line="260" w:lineRule="atLeast"/>
      <w:textAlignment w:val="center"/>
    </w:pPr>
    <w:rPr>
      <w:rFonts w:ascii="GuidePedagoTimes" w:eastAsia="Times New Roman" w:hAnsi="GuidePedagoTimes" w:cs="GuidePedagoTimes"/>
      <w:color w:val="000000"/>
      <w:sz w:val="22"/>
      <w:lang w:eastAsia="fr-FR"/>
    </w:rPr>
  </w:style>
  <w:style w:type="paragraph" w:customStyle="1" w:styleId="Default">
    <w:name w:val="Default"/>
    <w:rsid w:val="006127E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Marquedecommentaire">
    <w:name w:val="annotation reference"/>
    <w:basedOn w:val="Policepardfaut"/>
    <w:uiPriority w:val="99"/>
    <w:semiHidden/>
    <w:unhideWhenUsed/>
    <w:rsid w:val="00861A9C"/>
    <w:rPr>
      <w:sz w:val="16"/>
      <w:szCs w:val="16"/>
    </w:rPr>
  </w:style>
  <w:style w:type="paragraph" w:styleId="Commentaire">
    <w:name w:val="annotation text"/>
    <w:basedOn w:val="Normal"/>
    <w:link w:val="CommentaireCar"/>
    <w:uiPriority w:val="99"/>
    <w:unhideWhenUsed/>
    <w:rsid w:val="00861A9C"/>
    <w:pPr>
      <w:spacing w:line="240" w:lineRule="auto"/>
    </w:pPr>
    <w:rPr>
      <w:sz w:val="20"/>
      <w:szCs w:val="20"/>
    </w:rPr>
  </w:style>
  <w:style w:type="character" w:customStyle="1" w:styleId="CommentaireCar">
    <w:name w:val="Commentaire Car"/>
    <w:basedOn w:val="Policepardfaut"/>
    <w:link w:val="Commentaire"/>
    <w:uiPriority w:val="99"/>
    <w:rsid w:val="00861A9C"/>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861A9C"/>
    <w:rPr>
      <w:b/>
      <w:bCs/>
    </w:rPr>
  </w:style>
  <w:style w:type="character" w:customStyle="1" w:styleId="ObjetducommentaireCar">
    <w:name w:val="Objet du commentaire Car"/>
    <w:basedOn w:val="CommentaireCar"/>
    <w:link w:val="Objetducommentaire"/>
    <w:uiPriority w:val="99"/>
    <w:semiHidden/>
    <w:rsid w:val="00861A9C"/>
    <w:rPr>
      <w:b/>
      <w:bCs/>
      <w:kern w:val="0"/>
      <w:sz w:val="20"/>
      <w:szCs w:val="20"/>
      <w14:ligatures w14:val="none"/>
    </w:rPr>
  </w:style>
  <w:style w:type="paragraph" w:styleId="En-tte">
    <w:name w:val="header"/>
    <w:basedOn w:val="Normal"/>
    <w:link w:val="En-tteCar"/>
    <w:uiPriority w:val="99"/>
    <w:unhideWhenUsed/>
    <w:rsid w:val="00A65CE4"/>
    <w:pPr>
      <w:tabs>
        <w:tab w:val="center" w:pos="4536"/>
        <w:tab w:val="right" w:pos="9072"/>
      </w:tabs>
      <w:spacing w:after="0" w:line="240" w:lineRule="auto"/>
    </w:pPr>
  </w:style>
  <w:style w:type="character" w:customStyle="1" w:styleId="En-tteCar">
    <w:name w:val="En-tête Car"/>
    <w:basedOn w:val="Policepardfaut"/>
    <w:link w:val="En-tte"/>
    <w:uiPriority w:val="99"/>
    <w:rsid w:val="00A65CE4"/>
    <w:rPr>
      <w:kern w:val="0"/>
      <w:sz w:val="24"/>
      <w14:ligatures w14:val="none"/>
    </w:rPr>
  </w:style>
  <w:style w:type="paragraph" w:styleId="Pieddepage">
    <w:name w:val="footer"/>
    <w:basedOn w:val="Normal"/>
    <w:link w:val="PieddepageCar"/>
    <w:uiPriority w:val="99"/>
    <w:unhideWhenUsed/>
    <w:rsid w:val="00A65C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5CE4"/>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d11bf2-0934-453b-a0e2-e42c2e1dd80c">
      <Terms xmlns="http://schemas.microsoft.com/office/infopath/2007/PartnerControls"/>
    </lcf76f155ced4ddcb4097134ff3c332f>
    <TaxCatchAll xmlns="e7cc3e6c-68e0-4ceb-94ff-207a5910d436" xsi:nil="true"/>
  </documentManagement>
</p:properties>
</file>

<file path=customXml/itemProps1.xml><?xml version="1.0" encoding="utf-8"?>
<ds:datastoreItem xmlns:ds="http://schemas.openxmlformats.org/officeDocument/2006/customXml" ds:itemID="{73993C24-15BC-479A-A320-FAB8445F2F6B}">
  <ds:schemaRefs>
    <ds:schemaRef ds:uri="http://schemas.microsoft.com/sharepoint/v3/contenttype/forms"/>
  </ds:schemaRefs>
</ds:datastoreItem>
</file>

<file path=customXml/itemProps2.xml><?xml version="1.0" encoding="utf-8"?>
<ds:datastoreItem xmlns:ds="http://schemas.openxmlformats.org/officeDocument/2006/customXml" ds:itemID="{4DFBA8A4-3436-43C9-8A0B-439B18B02428}"/>
</file>

<file path=customXml/itemProps3.xml><?xml version="1.0" encoding="utf-8"?>
<ds:datastoreItem xmlns:ds="http://schemas.openxmlformats.org/officeDocument/2006/customXml" ds:itemID="{94320A4F-6B4C-4CA6-9F3E-DB06291D4D5E}">
  <ds:schemaRefs>
    <ds:schemaRef ds:uri="http://schemas.microsoft.com/office/2006/metadata/properties"/>
    <ds:schemaRef ds:uri="http://schemas.microsoft.com/office/infopath/2007/PartnerControls"/>
    <ds:schemaRef ds:uri="cfbd91ab-b3e0-4f65-b993-9c0a5c32c107"/>
    <ds:schemaRef ds:uri="58406d76-6540-444f-9ea2-cbfbf434caae"/>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629</Words>
  <Characters>3462</Characters>
  <Application>Microsoft Office Word</Application>
  <DocSecurity>0</DocSecurity>
  <Lines>28</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14</cp:revision>
  <dcterms:created xsi:type="dcterms:W3CDTF">2023-05-25T09:54:00Z</dcterms:created>
  <dcterms:modified xsi:type="dcterms:W3CDTF">2023-07-06T15:32:00Z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0x0101007E4C692CFED93142889B92D36625DBE9</vt:lpwstr>
  </property>
</Properties>
</file>