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F8C8" w14:textId="522E6BE8" w:rsidR="00DF7925" w:rsidRPr="002F3265" w:rsidRDefault="00DF7925" w:rsidP="00DF7925">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4684A856" wp14:editId="6A3AD6E9">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5</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La preuve</w:t>
      </w:r>
    </w:p>
    <w:p w14:paraId="1F40BB4B" w14:textId="77777777" w:rsidR="00DF7925" w:rsidRPr="00880100" w:rsidRDefault="00DF7925" w:rsidP="00DF7925">
      <w:pPr>
        <w:pStyle w:val="TTextecourant"/>
        <w:spacing w:line="240" w:lineRule="auto"/>
        <w:rPr>
          <w:rFonts w:ascii="Times New Roman" w:hAnsi="Times New Roman" w:cs="Times New Roman"/>
          <w:sz w:val="24"/>
          <w:szCs w:val="24"/>
        </w:rPr>
      </w:pPr>
    </w:p>
    <w:p w14:paraId="115DED49" w14:textId="77777777" w:rsidR="00DF7925" w:rsidRPr="00880100" w:rsidRDefault="00DF7925" w:rsidP="00DF7925">
      <w:pPr>
        <w:pStyle w:val="TTextecourant"/>
        <w:spacing w:line="240" w:lineRule="auto"/>
        <w:rPr>
          <w:rFonts w:ascii="Times New Roman" w:hAnsi="Times New Roman" w:cs="Times New Roman"/>
          <w:sz w:val="24"/>
          <w:szCs w:val="24"/>
        </w:rPr>
      </w:pPr>
    </w:p>
    <w:p w14:paraId="5B64D678" w14:textId="77777777" w:rsidR="00DF7925" w:rsidRDefault="00DF7925" w:rsidP="00DF7925">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1CB5FAAF" w14:textId="77777777" w:rsidR="00F71650" w:rsidRDefault="00F71650" w:rsidP="00F71650">
      <w:pPr>
        <w:pStyle w:val="TTextecourant"/>
        <w:spacing w:line="240" w:lineRule="auto"/>
        <w:rPr>
          <w:rFonts w:ascii="Times New Roman" w:hAnsi="Times New Roman" w:cs="Times New Roman"/>
          <w:sz w:val="24"/>
          <w:szCs w:val="24"/>
        </w:rPr>
      </w:pPr>
    </w:p>
    <w:p w14:paraId="3405B662" w14:textId="77777777" w:rsidR="00863D37" w:rsidRDefault="00863D37" w:rsidP="00F71650">
      <w:pPr>
        <w:pStyle w:val="TTextecourant"/>
        <w:spacing w:line="240" w:lineRule="auto"/>
        <w:rPr>
          <w:rFonts w:ascii="Times New Roman" w:hAnsi="Times New Roman" w:cs="Times New Roman"/>
          <w:sz w:val="24"/>
          <w:szCs w:val="24"/>
        </w:rPr>
      </w:pPr>
    </w:p>
    <w:p w14:paraId="0BAE8B81" w14:textId="16D3E07E" w:rsidR="00F71650" w:rsidRDefault="00F71650" w:rsidP="00F71650">
      <w:pPr>
        <w:pStyle w:val="Default"/>
        <w:rPr>
          <w:color w:val="auto"/>
        </w:rPr>
      </w:pPr>
      <w:r w:rsidRPr="00FF0FA4">
        <w:rPr>
          <w:b/>
          <w:bCs/>
          <w:color w:val="C45911" w:themeColor="accent2" w:themeShade="BF"/>
        </w:rPr>
        <w:t xml:space="preserve">1 </w:t>
      </w:r>
      <w:r>
        <w:rPr>
          <w:b/>
          <w:bCs/>
          <w:color w:val="auto"/>
        </w:rPr>
        <w:t xml:space="preserve">La preuve : notion et moyens de preuve </w:t>
      </w:r>
    </w:p>
    <w:p w14:paraId="422A84CB" w14:textId="77777777" w:rsidR="00F71650" w:rsidRDefault="00F71650" w:rsidP="00F71650">
      <w:pPr>
        <w:pStyle w:val="Default"/>
        <w:rPr>
          <w:color w:val="auto"/>
        </w:rPr>
      </w:pPr>
    </w:p>
    <w:p w14:paraId="74352AAC" w14:textId="2DA2A14D" w:rsidR="00F71650" w:rsidRDefault="00F71650" w:rsidP="00F71650">
      <w:pPr>
        <w:pStyle w:val="Default"/>
        <w:rPr>
          <w:b/>
          <w:bCs/>
          <w:color w:val="auto"/>
        </w:rPr>
      </w:pPr>
      <w:r w:rsidRPr="00FF0FA4">
        <w:rPr>
          <w:b/>
          <w:bCs/>
          <w:color w:val="833C0B" w:themeColor="accent2" w:themeShade="80"/>
        </w:rPr>
        <w:t>A</w:t>
      </w:r>
      <w:r>
        <w:rPr>
          <w:b/>
          <w:bCs/>
          <w:color w:val="auto"/>
        </w:rPr>
        <w:t xml:space="preserve"> La notion de preuve </w:t>
      </w:r>
    </w:p>
    <w:p w14:paraId="36B2FAE7" w14:textId="2A015FB0" w:rsidR="00F71650" w:rsidRDefault="00F71650" w:rsidP="00F71650">
      <w:pPr>
        <w:pStyle w:val="Default"/>
        <w:rPr>
          <w:color w:val="auto"/>
        </w:rPr>
      </w:pPr>
      <w:r>
        <w:rPr>
          <w:color w:val="auto"/>
        </w:rPr>
        <w:t xml:space="preserve">La preuve </w:t>
      </w:r>
      <w:r w:rsidR="00925068">
        <w:rPr>
          <w:color w:val="auto"/>
        </w:rPr>
        <w:t xml:space="preserve">est un élément qui atteste de la vérité. Elle </w:t>
      </w:r>
      <w:r>
        <w:rPr>
          <w:color w:val="auto"/>
        </w:rPr>
        <w:t>est la démonstration de la réalité d’un fait, d’un état, d’une circonstance ou d’une obligation.</w:t>
      </w:r>
    </w:p>
    <w:p w14:paraId="0B50317C" w14:textId="77777777" w:rsidR="00F71650" w:rsidRDefault="00F71650" w:rsidP="00F71650">
      <w:pPr>
        <w:pStyle w:val="Default"/>
        <w:rPr>
          <w:color w:val="auto"/>
        </w:rPr>
      </w:pPr>
    </w:p>
    <w:p w14:paraId="1E87130D" w14:textId="10B6A381" w:rsidR="00F71650" w:rsidRDefault="00F71650" w:rsidP="00F71650">
      <w:pPr>
        <w:pStyle w:val="Default"/>
        <w:rPr>
          <w:b/>
          <w:bCs/>
          <w:color w:val="auto"/>
        </w:rPr>
      </w:pPr>
      <w:r w:rsidRPr="00FF0FA4">
        <w:rPr>
          <w:b/>
          <w:bCs/>
          <w:color w:val="833C0B" w:themeColor="accent2" w:themeShade="80"/>
        </w:rPr>
        <w:t>B</w:t>
      </w:r>
      <w:r w:rsidR="00FF0FA4">
        <w:rPr>
          <w:b/>
          <w:bCs/>
          <w:color w:val="auto"/>
        </w:rPr>
        <w:t xml:space="preserve"> </w:t>
      </w:r>
      <w:r>
        <w:rPr>
          <w:b/>
          <w:bCs/>
          <w:color w:val="auto"/>
        </w:rPr>
        <w:t>Les moyens de preuve</w:t>
      </w:r>
    </w:p>
    <w:p w14:paraId="3EF2AB9F" w14:textId="77777777" w:rsidR="00F71650" w:rsidRDefault="00F71650" w:rsidP="00F71650">
      <w:pPr>
        <w:pStyle w:val="Default"/>
        <w:rPr>
          <w:color w:val="auto"/>
        </w:rPr>
      </w:pPr>
      <w:r>
        <w:rPr>
          <w:color w:val="auto"/>
        </w:rPr>
        <w:t xml:space="preserve">La preuve peut être apportée par un écrit. Il existe plusieurs sortes d’écrits : </w:t>
      </w:r>
    </w:p>
    <w:p w14:paraId="7EAEBAB0" w14:textId="77777777" w:rsidR="00F71650" w:rsidRDefault="00F71650" w:rsidP="00F71650">
      <w:pPr>
        <w:pStyle w:val="Default"/>
        <w:rPr>
          <w:color w:val="auto"/>
        </w:rPr>
      </w:pPr>
      <w:r>
        <w:rPr>
          <w:color w:val="auto"/>
        </w:rPr>
        <w:t>- l’acte authentique (écrit rédigé par un officier public) ;</w:t>
      </w:r>
    </w:p>
    <w:p w14:paraId="103D0087" w14:textId="77777777" w:rsidR="00F71650" w:rsidRDefault="00F71650" w:rsidP="00F71650">
      <w:pPr>
        <w:pStyle w:val="Default"/>
        <w:rPr>
          <w:color w:val="auto"/>
        </w:rPr>
      </w:pPr>
      <w:r>
        <w:rPr>
          <w:color w:val="auto"/>
        </w:rPr>
        <w:t>- l’acte sous seing privé (écrit par les particuliers et portant leur signature) ;</w:t>
      </w:r>
    </w:p>
    <w:p w14:paraId="0F4A07FF" w14:textId="77777777" w:rsidR="00F71650" w:rsidRDefault="00F71650" w:rsidP="00F71650">
      <w:pPr>
        <w:pStyle w:val="Default"/>
        <w:rPr>
          <w:color w:val="auto"/>
        </w:rPr>
      </w:pPr>
      <w:r>
        <w:rPr>
          <w:color w:val="auto"/>
        </w:rPr>
        <w:t>- et l’écrit électronique (dispose depuis 2000 de la même force probante que les écrits papier).</w:t>
      </w:r>
    </w:p>
    <w:p w14:paraId="26218A05" w14:textId="77777777" w:rsidR="00F71650" w:rsidRDefault="00F71650" w:rsidP="00F71650">
      <w:pPr>
        <w:pStyle w:val="Default"/>
        <w:rPr>
          <w:color w:val="auto"/>
        </w:rPr>
      </w:pPr>
      <w:r>
        <w:rPr>
          <w:color w:val="auto"/>
        </w:rPr>
        <w:t xml:space="preserve">D’autres moyens de preuve existent lorsqu’on ne peut pas prouver par écrit : </w:t>
      </w:r>
    </w:p>
    <w:p w14:paraId="6FB8A71F" w14:textId="77777777" w:rsidR="00F71650" w:rsidRDefault="00F71650" w:rsidP="00F71650">
      <w:pPr>
        <w:pStyle w:val="Default"/>
        <w:rPr>
          <w:color w:val="auto"/>
        </w:rPr>
      </w:pPr>
      <w:r>
        <w:rPr>
          <w:color w:val="auto"/>
        </w:rPr>
        <w:t>- les témoignages ;</w:t>
      </w:r>
    </w:p>
    <w:p w14:paraId="19F05124" w14:textId="77777777" w:rsidR="00F71650" w:rsidRDefault="00F71650" w:rsidP="00F71650">
      <w:pPr>
        <w:pStyle w:val="Default"/>
        <w:rPr>
          <w:color w:val="auto"/>
        </w:rPr>
      </w:pPr>
      <w:r>
        <w:rPr>
          <w:color w:val="auto"/>
        </w:rPr>
        <w:t>- les aveux ;</w:t>
      </w:r>
    </w:p>
    <w:p w14:paraId="336595BD" w14:textId="77777777" w:rsidR="00F71650" w:rsidRDefault="00F71650" w:rsidP="00F71650">
      <w:pPr>
        <w:pStyle w:val="Default"/>
        <w:rPr>
          <w:color w:val="auto"/>
        </w:rPr>
      </w:pPr>
      <w:r>
        <w:rPr>
          <w:color w:val="auto"/>
        </w:rPr>
        <w:t xml:space="preserve">- et les expertises notamment. </w:t>
      </w:r>
    </w:p>
    <w:p w14:paraId="5B2E4E52" w14:textId="77777777" w:rsidR="00F71650" w:rsidRDefault="00F71650" w:rsidP="00F71650">
      <w:pPr>
        <w:pStyle w:val="Default"/>
        <w:rPr>
          <w:color w:val="auto"/>
        </w:rPr>
      </w:pPr>
    </w:p>
    <w:p w14:paraId="1A7F97C0" w14:textId="2C5BC9A9" w:rsidR="00F71650" w:rsidRDefault="00F71650" w:rsidP="00F71650">
      <w:pPr>
        <w:pStyle w:val="Default"/>
        <w:rPr>
          <w:color w:val="auto"/>
        </w:rPr>
      </w:pPr>
      <w:r w:rsidRPr="00FF0FA4">
        <w:rPr>
          <w:b/>
          <w:bCs/>
          <w:color w:val="C45911" w:themeColor="accent2" w:themeShade="BF"/>
        </w:rPr>
        <w:t>2</w:t>
      </w:r>
      <w:r>
        <w:rPr>
          <w:b/>
          <w:bCs/>
          <w:color w:val="auto"/>
        </w:rPr>
        <w:t xml:space="preserve"> Les règles juridiques en matière de preuve </w:t>
      </w:r>
    </w:p>
    <w:p w14:paraId="2BED732C" w14:textId="77777777" w:rsidR="00F71650" w:rsidRDefault="00F71650" w:rsidP="00F71650">
      <w:pPr>
        <w:pStyle w:val="Default"/>
        <w:rPr>
          <w:color w:val="auto"/>
        </w:rPr>
      </w:pPr>
    </w:p>
    <w:p w14:paraId="4F683154" w14:textId="49AB3E11" w:rsidR="00F71650" w:rsidRDefault="00F71650" w:rsidP="00F71650">
      <w:pPr>
        <w:pStyle w:val="Default"/>
        <w:rPr>
          <w:b/>
          <w:bCs/>
          <w:color w:val="auto"/>
        </w:rPr>
      </w:pPr>
      <w:r w:rsidRPr="00FF0FA4">
        <w:rPr>
          <w:b/>
          <w:bCs/>
          <w:color w:val="833C0B" w:themeColor="accent2" w:themeShade="80"/>
        </w:rPr>
        <w:t>A</w:t>
      </w:r>
      <w:r>
        <w:rPr>
          <w:b/>
          <w:bCs/>
          <w:color w:val="auto"/>
        </w:rPr>
        <w:t xml:space="preserve"> En droit civil </w:t>
      </w:r>
    </w:p>
    <w:p w14:paraId="6B395541" w14:textId="77777777" w:rsidR="00F71650" w:rsidRPr="006819D0" w:rsidRDefault="00F71650" w:rsidP="00F71650">
      <w:pPr>
        <w:pStyle w:val="Default"/>
        <w:rPr>
          <w:color w:val="auto"/>
        </w:rPr>
      </w:pPr>
      <w:r w:rsidRPr="006819D0">
        <w:rPr>
          <w:color w:val="auto"/>
        </w:rPr>
        <w:t>• Les actes juridiques</w:t>
      </w:r>
    </w:p>
    <w:p w14:paraId="1188947B" w14:textId="77777777" w:rsidR="00F71650" w:rsidRPr="006819D0" w:rsidRDefault="00F71650" w:rsidP="00F71650">
      <w:pPr>
        <w:pStyle w:val="Default"/>
        <w:rPr>
          <w:color w:val="auto"/>
        </w:rPr>
      </w:pPr>
      <w:r w:rsidRPr="006819D0">
        <w:rPr>
          <w:color w:val="auto"/>
        </w:rPr>
        <w:t xml:space="preserve">Un acte juridique est la manifestation de l’intention, de la volonté d’une ou plusieurs personnes de produire des effets de droit, c’est-à-dire qui </w:t>
      </w:r>
      <w:proofErr w:type="gramStart"/>
      <w:r w:rsidRPr="006819D0">
        <w:rPr>
          <w:color w:val="auto"/>
        </w:rPr>
        <w:t>ont</w:t>
      </w:r>
      <w:proofErr w:type="gramEnd"/>
      <w:r w:rsidRPr="006819D0">
        <w:rPr>
          <w:color w:val="auto"/>
        </w:rPr>
        <w:t xml:space="preserve"> des conséquences juridiques. </w:t>
      </w:r>
    </w:p>
    <w:p w14:paraId="3FB4DB85" w14:textId="77777777" w:rsidR="00F71650" w:rsidRPr="006819D0" w:rsidRDefault="00F71650" w:rsidP="00F71650">
      <w:pPr>
        <w:pStyle w:val="Default"/>
        <w:rPr>
          <w:color w:val="auto"/>
        </w:rPr>
      </w:pPr>
      <w:r w:rsidRPr="006819D0">
        <w:rPr>
          <w:color w:val="auto"/>
        </w:rPr>
        <w:t xml:space="preserve">Un acte juridique se prouve par écrit, sauf exceptions. </w:t>
      </w:r>
    </w:p>
    <w:p w14:paraId="185656EF" w14:textId="77777777" w:rsidR="00F71650" w:rsidRPr="006819D0" w:rsidRDefault="00F71650" w:rsidP="00F71650">
      <w:pPr>
        <w:pStyle w:val="Default"/>
        <w:rPr>
          <w:color w:val="auto"/>
        </w:rPr>
      </w:pPr>
      <w:r w:rsidRPr="006819D0">
        <w:rPr>
          <w:color w:val="auto"/>
        </w:rPr>
        <w:t xml:space="preserve">• Les faits juridiques </w:t>
      </w:r>
    </w:p>
    <w:p w14:paraId="4351CB97" w14:textId="77777777" w:rsidR="00F71650" w:rsidRPr="006819D0" w:rsidRDefault="00F71650" w:rsidP="00F71650">
      <w:pPr>
        <w:pStyle w:val="Default"/>
        <w:rPr>
          <w:color w:val="auto"/>
        </w:rPr>
      </w:pPr>
      <w:r w:rsidRPr="006819D0">
        <w:rPr>
          <w:color w:val="auto"/>
        </w:rPr>
        <w:t xml:space="preserve">L’acte juridique doit être différencié du fait juridique, qui est un événement voulu ou non, susceptible de produire des effets juridiques et qui fait naître des droits et des obligations non recherchés. Un fait juridique se prouve par tous moyens. </w:t>
      </w:r>
    </w:p>
    <w:p w14:paraId="33FC459C" w14:textId="77777777" w:rsidR="00F71650" w:rsidRDefault="00F71650" w:rsidP="00F71650">
      <w:pPr>
        <w:pStyle w:val="Default"/>
        <w:rPr>
          <w:color w:val="auto"/>
        </w:rPr>
      </w:pPr>
    </w:p>
    <w:p w14:paraId="70073EC5" w14:textId="20A51CDB" w:rsidR="00F71650" w:rsidRDefault="00F71650" w:rsidP="00F71650">
      <w:pPr>
        <w:pStyle w:val="Default"/>
        <w:rPr>
          <w:b/>
          <w:bCs/>
          <w:color w:val="auto"/>
        </w:rPr>
      </w:pPr>
      <w:r w:rsidRPr="00FF0FA4">
        <w:rPr>
          <w:b/>
          <w:bCs/>
          <w:color w:val="833C0B" w:themeColor="accent2" w:themeShade="80"/>
        </w:rPr>
        <w:t>B</w:t>
      </w:r>
      <w:r w:rsidR="00FF0FA4">
        <w:rPr>
          <w:b/>
          <w:bCs/>
          <w:color w:val="auto"/>
        </w:rPr>
        <w:t xml:space="preserve"> </w:t>
      </w:r>
      <w:r>
        <w:rPr>
          <w:b/>
          <w:bCs/>
          <w:color w:val="auto"/>
        </w:rPr>
        <w:t xml:space="preserve">En droit pénal </w:t>
      </w:r>
    </w:p>
    <w:p w14:paraId="6100083F" w14:textId="77777777" w:rsidR="00F71650" w:rsidRDefault="00F71650" w:rsidP="00F71650">
      <w:pPr>
        <w:pStyle w:val="Default"/>
        <w:rPr>
          <w:color w:val="auto"/>
        </w:rPr>
      </w:pPr>
      <w:r>
        <w:rPr>
          <w:color w:val="auto"/>
        </w:rPr>
        <w:t xml:space="preserve">En droit pénal, c’est à celui qui accuse de prouver. La preuve peut se faire par tous moyens. </w:t>
      </w:r>
    </w:p>
    <w:p w14:paraId="59493C51" w14:textId="77777777" w:rsidR="00F71650" w:rsidRDefault="00F71650" w:rsidP="00F71650">
      <w:pPr>
        <w:pStyle w:val="Default"/>
        <w:rPr>
          <w:color w:val="auto"/>
        </w:rPr>
      </w:pPr>
      <w:r>
        <w:rPr>
          <w:color w:val="auto"/>
        </w:rPr>
        <w:t xml:space="preserve">La décision du juge et des jurés se fera selon leur intime conviction, c’est-à-dire que l’acte et la personne à juger seront pris en compte dans leur subjectivité. </w:t>
      </w:r>
    </w:p>
    <w:p w14:paraId="699BCAB0" w14:textId="77777777" w:rsidR="00F71650" w:rsidRDefault="00F71650" w:rsidP="00F71650">
      <w:pPr>
        <w:pStyle w:val="Default"/>
        <w:rPr>
          <w:color w:val="auto"/>
        </w:rPr>
      </w:pPr>
    </w:p>
    <w:p w14:paraId="18BBA4EC" w14:textId="58541B28" w:rsidR="00F71650" w:rsidRDefault="00F71650" w:rsidP="00F71650">
      <w:pPr>
        <w:pStyle w:val="Default"/>
        <w:rPr>
          <w:color w:val="auto"/>
        </w:rPr>
      </w:pPr>
      <w:r w:rsidRPr="00FF0FA4">
        <w:rPr>
          <w:b/>
          <w:bCs/>
          <w:color w:val="C45911" w:themeColor="accent2" w:themeShade="BF"/>
        </w:rPr>
        <w:t>3</w:t>
      </w:r>
      <w:r>
        <w:rPr>
          <w:b/>
          <w:bCs/>
          <w:color w:val="auto"/>
        </w:rPr>
        <w:t xml:space="preserve"> La charge de la preuve</w:t>
      </w:r>
    </w:p>
    <w:p w14:paraId="71B2A32F" w14:textId="77777777" w:rsidR="00F71650" w:rsidRDefault="00F71650" w:rsidP="00F71650">
      <w:pPr>
        <w:pStyle w:val="Default"/>
        <w:rPr>
          <w:color w:val="auto"/>
        </w:rPr>
      </w:pPr>
    </w:p>
    <w:p w14:paraId="6D2B3DC7" w14:textId="7950B873" w:rsidR="00F71650" w:rsidRDefault="00F71650" w:rsidP="00F71650">
      <w:pPr>
        <w:pStyle w:val="Default"/>
        <w:rPr>
          <w:b/>
          <w:bCs/>
          <w:color w:val="auto"/>
        </w:rPr>
      </w:pPr>
      <w:r w:rsidRPr="00FF0FA4">
        <w:rPr>
          <w:b/>
          <w:bCs/>
          <w:color w:val="833C0B" w:themeColor="accent2" w:themeShade="80"/>
        </w:rPr>
        <w:t xml:space="preserve">A </w:t>
      </w:r>
      <w:r>
        <w:rPr>
          <w:b/>
          <w:bCs/>
          <w:color w:val="auto"/>
        </w:rPr>
        <w:t xml:space="preserve">Le principe de base </w:t>
      </w:r>
    </w:p>
    <w:p w14:paraId="2EEDF74D" w14:textId="77777777" w:rsidR="00F71650" w:rsidRDefault="00F71650" w:rsidP="00F71650">
      <w:pPr>
        <w:pStyle w:val="Default"/>
        <w:rPr>
          <w:color w:val="auto"/>
        </w:rPr>
      </w:pPr>
      <w:r>
        <w:rPr>
          <w:color w:val="auto"/>
        </w:rPr>
        <w:t xml:space="preserve">Le principe est donc que le demandeur doit prouver ce qu’il avance. Cependant, le défendeur a la possibilité de prouver le contraire. </w:t>
      </w:r>
    </w:p>
    <w:p w14:paraId="7A35101F" w14:textId="77777777" w:rsidR="00F71650" w:rsidRDefault="00F71650" w:rsidP="00F71650">
      <w:pPr>
        <w:pStyle w:val="Default"/>
        <w:rPr>
          <w:color w:val="auto"/>
        </w:rPr>
      </w:pPr>
    </w:p>
    <w:p w14:paraId="60B87C95" w14:textId="5C009CB8" w:rsidR="00F71650" w:rsidRDefault="00F71650" w:rsidP="00F71650">
      <w:pPr>
        <w:pStyle w:val="Default"/>
        <w:rPr>
          <w:b/>
          <w:bCs/>
          <w:color w:val="auto"/>
        </w:rPr>
      </w:pPr>
      <w:r w:rsidRPr="00FF0FA4">
        <w:rPr>
          <w:b/>
          <w:bCs/>
          <w:color w:val="833C0B" w:themeColor="accent2" w:themeShade="80"/>
        </w:rPr>
        <w:t>B</w:t>
      </w:r>
      <w:r w:rsidR="00FF0FA4">
        <w:rPr>
          <w:b/>
          <w:bCs/>
          <w:color w:val="auto"/>
        </w:rPr>
        <w:t xml:space="preserve"> </w:t>
      </w:r>
      <w:r>
        <w:rPr>
          <w:b/>
          <w:bCs/>
          <w:color w:val="auto"/>
        </w:rPr>
        <w:t xml:space="preserve">Les présomptions </w:t>
      </w:r>
    </w:p>
    <w:p w14:paraId="20903BC5" w14:textId="63013822" w:rsidR="00F71650" w:rsidRPr="006819D0" w:rsidRDefault="00F71650" w:rsidP="00F71650">
      <w:pPr>
        <w:pStyle w:val="Default"/>
        <w:rPr>
          <w:color w:val="auto"/>
        </w:rPr>
      </w:pPr>
      <w:r w:rsidRPr="006819D0">
        <w:rPr>
          <w:color w:val="auto"/>
        </w:rPr>
        <w:t>Le renversement de la charge de la preuve est donc un mécanisme qui permet au demandeur de ne pas apporter la preuve</w:t>
      </w:r>
      <w:r w:rsidR="004F35B6">
        <w:rPr>
          <w:color w:val="auto"/>
        </w:rPr>
        <w:t>, mais au défendeur</w:t>
      </w:r>
      <w:r w:rsidRPr="006819D0">
        <w:rPr>
          <w:color w:val="auto"/>
        </w:rPr>
        <w:t xml:space="preserve"> : c’est ce que l’on appelle des présomptions. </w:t>
      </w:r>
    </w:p>
    <w:p w14:paraId="5851ADA9" w14:textId="77777777" w:rsidR="00F71650" w:rsidRPr="006819D0" w:rsidRDefault="00F71650" w:rsidP="00F71650">
      <w:pPr>
        <w:pStyle w:val="Default"/>
        <w:rPr>
          <w:color w:val="auto"/>
        </w:rPr>
      </w:pPr>
      <w:r w:rsidRPr="006819D0">
        <w:rPr>
          <w:color w:val="auto"/>
        </w:rPr>
        <w:t xml:space="preserve">Une présomption est une opinion, une supposition fondée seulement sur des apparences, des indices non prouvés. </w:t>
      </w:r>
    </w:p>
    <w:p w14:paraId="508015F8" w14:textId="77777777" w:rsidR="00F71650" w:rsidRPr="006819D0" w:rsidRDefault="00F71650" w:rsidP="00F71650">
      <w:pPr>
        <w:spacing w:after="0" w:line="240" w:lineRule="auto"/>
        <w:jc w:val="left"/>
        <w:rPr>
          <w:rFonts w:ascii="Times New Roman" w:hAnsi="Times New Roman" w:cs="Times New Roman"/>
          <w:szCs w:val="24"/>
        </w:rPr>
      </w:pPr>
      <w:r w:rsidRPr="006819D0">
        <w:rPr>
          <w:rFonts w:ascii="Times New Roman" w:hAnsi="Times New Roman" w:cs="Times New Roman"/>
          <w:szCs w:val="24"/>
        </w:rPr>
        <w:t>Il existe deux types de présomptions :</w:t>
      </w:r>
    </w:p>
    <w:p w14:paraId="5CD7A24F" w14:textId="77777777" w:rsidR="00F71650" w:rsidRPr="006819D0" w:rsidRDefault="00F71650" w:rsidP="00F71650">
      <w:pPr>
        <w:spacing w:after="0" w:line="240" w:lineRule="auto"/>
        <w:jc w:val="left"/>
        <w:rPr>
          <w:rFonts w:ascii="Times New Roman" w:hAnsi="Times New Roman" w:cs="Times New Roman"/>
          <w:szCs w:val="24"/>
        </w:rPr>
      </w:pPr>
      <w:r w:rsidRPr="006819D0">
        <w:rPr>
          <w:rFonts w:ascii="Times New Roman" w:hAnsi="Times New Roman" w:cs="Times New Roman"/>
          <w:szCs w:val="24"/>
        </w:rPr>
        <w:lastRenderedPageBreak/>
        <w:t>- les présomptions simples (la personne peut prouver que la supposition est fausse) ;</w:t>
      </w:r>
    </w:p>
    <w:p w14:paraId="340E11CF" w14:textId="325FB0E1" w:rsidR="00630B87" w:rsidRPr="006819D0" w:rsidRDefault="00F71650" w:rsidP="006819D0">
      <w:pPr>
        <w:spacing w:after="0" w:line="240" w:lineRule="auto"/>
        <w:jc w:val="left"/>
        <w:rPr>
          <w:rFonts w:ascii="Times New Roman" w:hAnsi="Times New Roman" w:cs="Times New Roman"/>
          <w:sz w:val="28"/>
          <w:szCs w:val="24"/>
        </w:rPr>
      </w:pPr>
      <w:r w:rsidRPr="006819D0">
        <w:rPr>
          <w:rFonts w:ascii="Times New Roman" w:hAnsi="Times New Roman" w:cs="Times New Roman"/>
          <w:szCs w:val="24"/>
        </w:rPr>
        <w:t>- et les présomptions irréfragables (la personne n’a pas le droit de prouver le contraire de ce qui est supposé).</w:t>
      </w:r>
    </w:p>
    <w:sectPr w:rsidR="00630B87" w:rsidRPr="006819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5797" w14:textId="77777777" w:rsidR="00863D37" w:rsidRDefault="00863D37" w:rsidP="00863D37">
      <w:pPr>
        <w:spacing w:after="0" w:line="240" w:lineRule="auto"/>
      </w:pPr>
      <w:r>
        <w:separator/>
      </w:r>
    </w:p>
  </w:endnote>
  <w:endnote w:type="continuationSeparator" w:id="0">
    <w:p w14:paraId="647D085A" w14:textId="77777777" w:rsidR="00863D37" w:rsidRDefault="00863D37" w:rsidP="0086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88622"/>
      <w:docPartObj>
        <w:docPartGallery w:val="Page Numbers (Bottom of Page)"/>
        <w:docPartUnique/>
      </w:docPartObj>
    </w:sdtPr>
    <w:sdtContent>
      <w:p w14:paraId="3F9DA8D1" w14:textId="3E278311" w:rsidR="00863D37" w:rsidRDefault="00863D37">
        <w:pPr>
          <w:pStyle w:val="Pieddepage"/>
          <w:jc w:val="center"/>
        </w:pPr>
        <w:r>
          <w:fldChar w:fldCharType="begin"/>
        </w:r>
        <w:r>
          <w:instrText>PAGE   \* MERGEFORMAT</w:instrText>
        </w:r>
        <w:r>
          <w:fldChar w:fldCharType="separate"/>
        </w:r>
        <w:r>
          <w:t>2</w:t>
        </w:r>
        <w:r>
          <w:fldChar w:fldCharType="end"/>
        </w:r>
        <w:r w:rsidR="00D10418">
          <w:t xml:space="preserve"> </w:t>
        </w:r>
        <w:r w:rsidR="00D10418" w:rsidRPr="00D4438B">
          <w:rPr>
            <w:rFonts w:cstheme="minorHAnsi"/>
            <w:caps/>
          </w:rPr>
          <w:t>©</w:t>
        </w:r>
        <w:r w:rsidR="00D10418" w:rsidRPr="00D4438B">
          <w:rPr>
            <w:caps/>
          </w:rPr>
          <w:t> FOUCHER 2023</w:t>
        </w:r>
      </w:p>
    </w:sdtContent>
  </w:sdt>
  <w:p w14:paraId="3976AAA6" w14:textId="77777777" w:rsidR="00863D37" w:rsidRDefault="00863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8256" w14:textId="77777777" w:rsidR="00863D37" w:rsidRDefault="00863D37" w:rsidP="00863D37">
      <w:pPr>
        <w:spacing w:after="0" w:line="240" w:lineRule="auto"/>
      </w:pPr>
      <w:r>
        <w:separator/>
      </w:r>
    </w:p>
  </w:footnote>
  <w:footnote w:type="continuationSeparator" w:id="0">
    <w:p w14:paraId="3AEE183F" w14:textId="77777777" w:rsidR="00863D37" w:rsidRDefault="00863D37" w:rsidP="00863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50"/>
    <w:rsid w:val="00016CC4"/>
    <w:rsid w:val="00490258"/>
    <w:rsid w:val="004F35B6"/>
    <w:rsid w:val="005F20F0"/>
    <w:rsid w:val="00630B87"/>
    <w:rsid w:val="006819D0"/>
    <w:rsid w:val="006D276B"/>
    <w:rsid w:val="00863D37"/>
    <w:rsid w:val="008954AE"/>
    <w:rsid w:val="00925068"/>
    <w:rsid w:val="00B225C8"/>
    <w:rsid w:val="00D10418"/>
    <w:rsid w:val="00D8557B"/>
    <w:rsid w:val="00DF7925"/>
    <w:rsid w:val="00F71650"/>
    <w:rsid w:val="00FF0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9573"/>
  <w15:chartTrackingRefBased/>
  <w15:docId w15:val="{10D6A8F6-AFE6-488F-BDEF-C888752C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50"/>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line="259" w:lineRule="auto"/>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F71650"/>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paragraph" w:customStyle="1" w:styleId="Default">
    <w:name w:val="Default"/>
    <w:rsid w:val="00F716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Marquedecommentaire">
    <w:name w:val="annotation reference"/>
    <w:basedOn w:val="Policepardfaut"/>
    <w:uiPriority w:val="99"/>
    <w:semiHidden/>
    <w:unhideWhenUsed/>
    <w:rsid w:val="006D276B"/>
    <w:rPr>
      <w:sz w:val="16"/>
      <w:szCs w:val="16"/>
    </w:rPr>
  </w:style>
  <w:style w:type="paragraph" w:styleId="Commentaire">
    <w:name w:val="annotation text"/>
    <w:basedOn w:val="Normal"/>
    <w:link w:val="CommentaireCar"/>
    <w:uiPriority w:val="99"/>
    <w:unhideWhenUsed/>
    <w:rsid w:val="006D276B"/>
    <w:pPr>
      <w:spacing w:line="240" w:lineRule="auto"/>
    </w:pPr>
    <w:rPr>
      <w:sz w:val="20"/>
      <w:szCs w:val="20"/>
    </w:rPr>
  </w:style>
  <w:style w:type="character" w:customStyle="1" w:styleId="CommentaireCar">
    <w:name w:val="Commentaire Car"/>
    <w:basedOn w:val="Policepardfaut"/>
    <w:link w:val="Commentaire"/>
    <w:uiPriority w:val="99"/>
    <w:rsid w:val="006D276B"/>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D276B"/>
    <w:rPr>
      <w:b/>
      <w:bCs/>
    </w:rPr>
  </w:style>
  <w:style w:type="character" w:customStyle="1" w:styleId="ObjetducommentaireCar">
    <w:name w:val="Objet du commentaire Car"/>
    <w:basedOn w:val="CommentaireCar"/>
    <w:link w:val="Objetducommentaire"/>
    <w:uiPriority w:val="99"/>
    <w:semiHidden/>
    <w:rsid w:val="006D276B"/>
    <w:rPr>
      <w:b/>
      <w:bCs/>
      <w:kern w:val="0"/>
      <w:sz w:val="20"/>
      <w:szCs w:val="20"/>
      <w14:ligatures w14:val="none"/>
    </w:rPr>
  </w:style>
  <w:style w:type="paragraph" w:styleId="En-tte">
    <w:name w:val="header"/>
    <w:basedOn w:val="Normal"/>
    <w:link w:val="En-tteCar"/>
    <w:uiPriority w:val="99"/>
    <w:unhideWhenUsed/>
    <w:rsid w:val="00863D37"/>
    <w:pPr>
      <w:tabs>
        <w:tab w:val="center" w:pos="4536"/>
        <w:tab w:val="right" w:pos="9072"/>
      </w:tabs>
      <w:spacing w:after="0" w:line="240" w:lineRule="auto"/>
    </w:pPr>
  </w:style>
  <w:style w:type="character" w:customStyle="1" w:styleId="En-tteCar">
    <w:name w:val="En-tête Car"/>
    <w:basedOn w:val="Policepardfaut"/>
    <w:link w:val="En-tte"/>
    <w:uiPriority w:val="99"/>
    <w:rsid w:val="00863D37"/>
    <w:rPr>
      <w:kern w:val="0"/>
      <w:sz w:val="24"/>
      <w14:ligatures w14:val="none"/>
    </w:rPr>
  </w:style>
  <w:style w:type="paragraph" w:styleId="Pieddepage">
    <w:name w:val="footer"/>
    <w:basedOn w:val="Normal"/>
    <w:link w:val="PieddepageCar"/>
    <w:uiPriority w:val="99"/>
    <w:unhideWhenUsed/>
    <w:rsid w:val="00863D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D37"/>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4024E-E33E-4D88-8E65-C31DD9E1DB33}"/>
</file>

<file path=customXml/itemProps2.xml><?xml version="1.0" encoding="utf-8"?>
<ds:datastoreItem xmlns:ds="http://schemas.openxmlformats.org/officeDocument/2006/customXml" ds:itemID="{D3803108-40B4-482D-B200-3310C6393D47}">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0C0604D8-A186-43D3-9F98-E7FD2575F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14</cp:revision>
  <dcterms:created xsi:type="dcterms:W3CDTF">2023-05-25T11:57:00Z</dcterms:created>
  <dcterms:modified xsi:type="dcterms:W3CDTF">2023-07-06T15:34:00Z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