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0BC3" w14:textId="0434BDCC" w:rsidR="00336F2F" w:rsidRPr="003860EB" w:rsidRDefault="00336F2F" w:rsidP="00336F2F">
      <w:pPr>
        <w:tabs>
          <w:tab w:val="left" w:pos="3216"/>
        </w:tabs>
        <w:spacing w:after="0"/>
        <w:jc w:val="right"/>
        <w:rPr>
          <w:rFonts w:cs="Arial"/>
          <w:b/>
          <w:sz w:val="28"/>
          <w:szCs w:val="28"/>
        </w:rPr>
      </w:pPr>
      <w:r w:rsidRPr="003860EB">
        <w:rPr>
          <w:rFonts w:cs="Arial"/>
          <w:b/>
          <w:sz w:val="28"/>
          <w:szCs w:val="28"/>
        </w:rPr>
        <w:t xml:space="preserve">Chapitre </w:t>
      </w:r>
      <w:r>
        <w:rPr>
          <w:rFonts w:cs="Arial"/>
          <w:b/>
          <w:sz w:val="28"/>
          <w:szCs w:val="28"/>
        </w:rPr>
        <w:t>1</w:t>
      </w:r>
      <w:r>
        <w:rPr>
          <w:rFonts w:cs="Arial"/>
          <w:b/>
          <w:sz w:val="28"/>
          <w:szCs w:val="28"/>
        </w:rPr>
        <w:t>2</w:t>
      </w:r>
    </w:p>
    <w:p w14:paraId="23161A39" w14:textId="1838985B" w:rsidR="00336F2F" w:rsidRPr="009628B6" w:rsidRDefault="00336F2F" w:rsidP="00336F2F">
      <w:pPr>
        <w:tabs>
          <w:tab w:val="left" w:pos="3216"/>
        </w:tabs>
        <w:spacing w:after="0"/>
        <w:jc w:val="right"/>
        <w:rPr>
          <w:rFonts w:cs="Arial"/>
          <w:b/>
          <w:sz w:val="28"/>
          <w:szCs w:val="28"/>
        </w:rPr>
      </w:pPr>
      <w:r w:rsidRPr="006B2A0E">
        <w:rPr>
          <w:rFonts w:ascii="Arial Black" w:hAnsi="Arial Black" w:cs="Arial"/>
          <w:b/>
          <w:color w:val="FF0000"/>
          <w:sz w:val="24"/>
          <w:szCs w:val="24"/>
          <w:highlight w:val="yellow"/>
        </w:rPr>
        <w:t>168</w:t>
      </w:r>
      <w:r>
        <w:rPr>
          <w:rFonts w:ascii="Arial Black" w:hAnsi="Arial Black" w:cs="Arial"/>
          <w:b/>
          <w:color w:val="FF0000"/>
          <w:sz w:val="24"/>
          <w:szCs w:val="24"/>
          <w:highlight w:val="yellow"/>
        </w:rPr>
        <w:t>84</w:t>
      </w:r>
      <w:r w:rsidRPr="006B2A0E">
        <w:rPr>
          <w:rFonts w:ascii="Arial Black" w:hAnsi="Arial Black" w:cs="Arial"/>
          <w:b/>
          <w:color w:val="FF0000"/>
          <w:sz w:val="24"/>
          <w:szCs w:val="24"/>
          <w:highlight w:val="yellow"/>
        </w:rPr>
        <w:t>_</w:t>
      </w:r>
      <w:r>
        <w:rPr>
          <w:rFonts w:ascii="Arial Black" w:hAnsi="Arial Black" w:cs="Arial"/>
          <w:b/>
          <w:color w:val="FF0000"/>
          <w:sz w:val="24"/>
          <w:szCs w:val="24"/>
          <w:highlight w:val="yellow"/>
        </w:rPr>
        <w:t>C1</w:t>
      </w:r>
      <w:r>
        <w:rPr>
          <w:rFonts w:ascii="Arial Black" w:hAnsi="Arial Black" w:cs="Arial"/>
          <w:b/>
          <w:color w:val="FF0000"/>
          <w:sz w:val="24"/>
          <w:szCs w:val="24"/>
          <w:highlight w:val="yellow"/>
        </w:rPr>
        <w:t>2</w:t>
      </w:r>
      <w:r>
        <w:rPr>
          <w:rFonts w:ascii="Arial Black" w:hAnsi="Arial Black" w:cs="Arial"/>
          <w:b/>
          <w:color w:val="FF0000"/>
          <w:sz w:val="24"/>
          <w:szCs w:val="24"/>
          <w:highlight w:val="yellow"/>
        </w:rPr>
        <w:t>_Synth</w:t>
      </w:r>
      <w:r w:rsidRPr="006B2A0E">
        <w:rPr>
          <w:rFonts w:ascii="Arial Black" w:hAnsi="Arial Black" w:cs="Arial"/>
          <w:b/>
          <w:color w:val="FF0000"/>
          <w:sz w:val="24"/>
          <w:szCs w:val="24"/>
          <w:highlight w:val="yellow"/>
        </w:rPr>
        <w:t>_23</w:t>
      </w:r>
      <w:r>
        <w:rPr>
          <w:rFonts w:ascii="Arial Black" w:hAnsi="Arial Black" w:cs="Arial"/>
          <w:b/>
          <w:color w:val="FF0000"/>
          <w:sz w:val="24"/>
          <w:szCs w:val="24"/>
          <w:highlight w:val="yellow"/>
        </w:rPr>
        <w:t>tpr4</w:t>
      </w:r>
      <w:r w:rsidR="009B13CE">
        <w:rPr>
          <w:rFonts w:ascii="Arial Black" w:hAnsi="Arial Black" w:cs="Arial"/>
          <w:b/>
          <w:color w:val="FF0000"/>
          <w:sz w:val="24"/>
          <w:szCs w:val="24"/>
          <w:highlight w:val="yellow"/>
        </w:rPr>
        <w:t>3</w:t>
      </w:r>
      <w:r>
        <w:rPr>
          <w:rFonts w:ascii="Arial Black" w:hAnsi="Arial Black" w:cs="Arial"/>
          <w:b/>
          <w:color w:val="FF0000"/>
          <w:sz w:val="24"/>
          <w:szCs w:val="24"/>
        </w:rPr>
        <w:tab/>
      </w:r>
      <w:r>
        <w:rPr>
          <w:rFonts w:cs="Arial"/>
          <w:b/>
          <w:sz w:val="28"/>
          <w:szCs w:val="28"/>
        </w:rPr>
        <w:t>La préparation d’une action d’éducation à la santé</w:t>
      </w:r>
    </w:p>
    <w:p w14:paraId="21F8C337" w14:textId="77777777" w:rsidR="00336F2F" w:rsidRDefault="00336F2F" w:rsidP="00336F2F">
      <w:pPr>
        <w:tabs>
          <w:tab w:val="left" w:pos="3216"/>
        </w:tabs>
        <w:spacing w:after="0"/>
        <w:rPr>
          <w:rFonts w:cs="Arial"/>
          <w:b/>
          <w:sz w:val="36"/>
          <w:szCs w:val="36"/>
        </w:rPr>
      </w:pPr>
      <w:r>
        <w:rPr>
          <w:rFonts w:cs="Arial"/>
          <w:b/>
          <w:sz w:val="36"/>
          <w:szCs w:val="36"/>
        </w:rPr>
        <w:t xml:space="preserve">Synthèse rédigée et audio </w:t>
      </w:r>
    </w:p>
    <w:p w14:paraId="5F65EBE5" w14:textId="77777777" w:rsidR="00336F2F" w:rsidRDefault="00336F2F" w:rsidP="00336F2F">
      <w:pPr>
        <w:rPr>
          <w:rFonts w:cs="Arial"/>
          <w:b/>
          <w:sz w:val="24"/>
          <w:szCs w:val="28"/>
        </w:rPr>
      </w:pPr>
    </w:p>
    <w:p w14:paraId="6417A501" w14:textId="1D856CCB" w:rsidR="00336F2F" w:rsidRDefault="00336F2F" w:rsidP="00336F2F">
      <w:pPr>
        <w:spacing w:after="0" w:line="240" w:lineRule="auto"/>
        <w:jc w:val="both"/>
        <w:rPr>
          <w:rFonts w:cs="Arial"/>
          <w:b/>
          <w:sz w:val="24"/>
          <w:szCs w:val="24"/>
        </w:rPr>
      </w:pPr>
      <w:r w:rsidRPr="006F520D">
        <w:rPr>
          <w:rFonts w:cs="Arial"/>
          <w:b/>
          <w:sz w:val="24"/>
          <w:szCs w:val="24"/>
        </w:rPr>
        <w:t>1.</w:t>
      </w:r>
      <w:r>
        <w:rPr>
          <w:rFonts w:cs="Arial"/>
          <w:b/>
          <w:sz w:val="24"/>
          <w:szCs w:val="24"/>
        </w:rPr>
        <w:t xml:space="preserve"> </w:t>
      </w:r>
      <w:r w:rsidRPr="006F520D">
        <w:rPr>
          <w:rFonts w:cs="Arial"/>
          <w:b/>
          <w:sz w:val="24"/>
          <w:szCs w:val="24"/>
        </w:rPr>
        <w:t>L</w:t>
      </w:r>
      <w:r w:rsidR="009B13CE">
        <w:rPr>
          <w:rFonts w:cs="Arial"/>
          <w:b/>
          <w:sz w:val="24"/>
          <w:szCs w:val="24"/>
        </w:rPr>
        <w:t>a planification d’une action d’éducation à la santé</w:t>
      </w:r>
    </w:p>
    <w:p w14:paraId="52056E03" w14:textId="77777777" w:rsidR="009A5362" w:rsidRDefault="009A5362" w:rsidP="009A5362">
      <w:pPr>
        <w:spacing w:after="0" w:line="240" w:lineRule="auto"/>
        <w:rPr>
          <w:b/>
          <w:sz w:val="28"/>
          <w:szCs w:val="28"/>
        </w:rPr>
      </w:pPr>
    </w:p>
    <w:p w14:paraId="61706585" w14:textId="4EA48A12" w:rsidR="009A5362" w:rsidRPr="009B13CE" w:rsidRDefault="009B13CE" w:rsidP="009A5362">
      <w:pPr>
        <w:spacing w:after="0" w:line="240" w:lineRule="auto"/>
        <w:rPr>
          <w:b/>
          <w:iCs/>
        </w:rPr>
      </w:pPr>
      <w:r w:rsidRPr="009B13CE">
        <w:rPr>
          <w:b/>
          <w:iCs/>
        </w:rPr>
        <w:sym w:font="Wingdings" w:char="F0DC"/>
      </w:r>
      <w:r>
        <w:rPr>
          <w:b/>
          <w:iCs/>
        </w:rPr>
        <w:t xml:space="preserve"> </w:t>
      </w:r>
      <w:r w:rsidR="009A5362" w:rsidRPr="009B13CE">
        <w:rPr>
          <w:b/>
          <w:iCs/>
        </w:rPr>
        <w:t>La définition et les intérêts de la planification</w:t>
      </w:r>
    </w:p>
    <w:p w14:paraId="0FEE9818" w14:textId="076B874A" w:rsidR="009A5362" w:rsidRPr="009B13CE" w:rsidRDefault="009A5362" w:rsidP="009A5362">
      <w:pPr>
        <w:spacing w:after="0" w:line="240" w:lineRule="auto"/>
      </w:pPr>
      <w:r>
        <w:t xml:space="preserve">La </w:t>
      </w:r>
      <w:r w:rsidRPr="009B13CE">
        <w:rPr>
          <w:b/>
          <w:bCs/>
        </w:rPr>
        <w:t>planification</w:t>
      </w:r>
      <w:r>
        <w:t xml:space="preserve"> est un gage de réussite pour la mise en place d’une action d’éducation à la santé.</w:t>
      </w:r>
      <w:r w:rsidR="009B13CE">
        <w:t xml:space="preserve"> </w:t>
      </w:r>
      <w:r w:rsidRPr="00CF0B0A">
        <w:rPr>
          <w:color w:val="000000" w:themeColor="text1"/>
        </w:rPr>
        <w:t>Une planification permet de définir et ordonner toutes les étapes d’une action, puis de déterminer les tâches à effectuer à chaque étape.</w:t>
      </w:r>
      <w:r w:rsidR="009B13CE">
        <w:t xml:space="preserve"> </w:t>
      </w:r>
      <w:r w:rsidRPr="00CF0B0A">
        <w:rPr>
          <w:bCs/>
          <w:color w:val="000000" w:themeColor="text1"/>
        </w:rPr>
        <w:t xml:space="preserve">Les intérêts d’une bonne planification sont multiples : </w:t>
      </w:r>
    </w:p>
    <w:p w14:paraId="23C08AB8" w14:textId="457E83CE" w:rsidR="008A500B" w:rsidRDefault="009A5362" w:rsidP="009A5362">
      <w:pPr>
        <w:pStyle w:val="Paragraphedeliste"/>
        <w:numPr>
          <w:ilvl w:val="0"/>
          <w:numId w:val="1"/>
        </w:numPr>
        <w:spacing w:after="0" w:line="240" w:lineRule="auto"/>
        <w:rPr>
          <w:bCs/>
          <w:color w:val="000000" w:themeColor="text1"/>
        </w:rPr>
      </w:pPr>
      <w:r w:rsidRPr="009B13CE">
        <w:rPr>
          <w:bCs/>
          <w:color w:val="000000" w:themeColor="text1"/>
        </w:rPr>
        <w:t>Eviter les oublis</w:t>
      </w:r>
      <w:r w:rsidR="008A500B">
        <w:rPr>
          <w:bCs/>
          <w:color w:val="000000" w:themeColor="text1"/>
        </w:rPr>
        <w:t>.</w:t>
      </w:r>
    </w:p>
    <w:p w14:paraId="6F059F1B" w14:textId="10502E51" w:rsidR="009A5362" w:rsidRPr="009B13CE" w:rsidRDefault="009A5362" w:rsidP="009A5362">
      <w:pPr>
        <w:pStyle w:val="Paragraphedeliste"/>
        <w:numPr>
          <w:ilvl w:val="0"/>
          <w:numId w:val="1"/>
        </w:numPr>
        <w:spacing w:after="0" w:line="240" w:lineRule="auto"/>
        <w:rPr>
          <w:bCs/>
          <w:color w:val="000000" w:themeColor="text1"/>
        </w:rPr>
      </w:pPr>
      <w:r w:rsidRPr="009B13CE">
        <w:rPr>
          <w:bCs/>
          <w:color w:val="000000" w:themeColor="text1"/>
        </w:rPr>
        <w:t>Répartir les tâches, les ordonner de manière chronologique, mettre en évidence leur interdépendance</w:t>
      </w:r>
      <w:r w:rsidR="008A500B">
        <w:rPr>
          <w:bCs/>
          <w:color w:val="000000" w:themeColor="text1"/>
        </w:rPr>
        <w:t>.</w:t>
      </w:r>
    </w:p>
    <w:p w14:paraId="45B5BB14" w14:textId="56C4B187" w:rsidR="009A5362" w:rsidRPr="008A500B" w:rsidRDefault="009A5362" w:rsidP="008A500B">
      <w:pPr>
        <w:pStyle w:val="Paragraphedeliste"/>
        <w:numPr>
          <w:ilvl w:val="0"/>
          <w:numId w:val="1"/>
        </w:numPr>
        <w:spacing w:after="0" w:line="240" w:lineRule="auto"/>
        <w:rPr>
          <w:bCs/>
          <w:color w:val="000000" w:themeColor="text1"/>
        </w:rPr>
      </w:pPr>
      <w:r w:rsidRPr="008A500B">
        <w:rPr>
          <w:bCs/>
          <w:color w:val="000000" w:themeColor="text1"/>
        </w:rPr>
        <w:t>Estimer le temps nécessaire</w:t>
      </w:r>
      <w:r w:rsidR="008A500B">
        <w:rPr>
          <w:bCs/>
          <w:color w:val="000000" w:themeColor="text1"/>
        </w:rPr>
        <w:t>.</w:t>
      </w:r>
    </w:p>
    <w:p w14:paraId="67D6DA3C" w14:textId="70C3897E" w:rsidR="009A5362" w:rsidRPr="008A500B" w:rsidRDefault="009A5362" w:rsidP="008A500B">
      <w:pPr>
        <w:pStyle w:val="Paragraphedeliste"/>
        <w:numPr>
          <w:ilvl w:val="0"/>
          <w:numId w:val="1"/>
        </w:numPr>
        <w:spacing w:after="0" w:line="240" w:lineRule="auto"/>
        <w:rPr>
          <w:bCs/>
          <w:color w:val="000000" w:themeColor="text1"/>
        </w:rPr>
      </w:pPr>
      <w:r w:rsidRPr="008A500B">
        <w:rPr>
          <w:bCs/>
          <w:color w:val="000000" w:themeColor="text1"/>
        </w:rPr>
        <w:t>Lister les ressources nécessaires</w:t>
      </w:r>
      <w:r w:rsidR="008A500B">
        <w:rPr>
          <w:bCs/>
          <w:color w:val="000000" w:themeColor="text1"/>
        </w:rPr>
        <w:t>.</w:t>
      </w:r>
    </w:p>
    <w:p w14:paraId="387F262F" w14:textId="5BD1A9A2" w:rsidR="009A5362" w:rsidRPr="00173347" w:rsidRDefault="009A5362" w:rsidP="00173347">
      <w:pPr>
        <w:pStyle w:val="Paragraphedeliste"/>
        <w:numPr>
          <w:ilvl w:val="0"/>
          <w:numId w:val="1"/>
        </w:numPr>
        <w:spacing w:after="0" w:line="240" w:lineRule="auto"/>
        <w:rPr>
          <w:bCs/>
          <w:color w:val="000000" w:themeColor="text1"/>
        </w:rPr>
      </w:pPr>
      <w:r w:rsidRPr="00173347">
        <w:rPr>
          <w:bCs/>
          <w:color w:val="000000" w:themeColor="text1"/>
        </w:rPr>
        <w:t>Prévoir le budget</w:t>
      </w:r>
      <w:r w:rsidR="00173347">
        <w:rPr>
          <w:bCs/>
          <w:color w:val="000000" w:themeColor="text1"/>
        </w:rPr>
        <w:t>.</w:t>
      </w:r>
    </w:p>
    <w:p w14:paraId="7A190D32" w14:textId="39E36CE7" w:rsidR="009A5362" w:rsidRPr="00173347" w:rsidRDefault="009A5362" w:rsidP="00173347">
      <w:pPr>
        <w:pStyle w:val="Paragraphedeliste"/>
        <w:numPr>
          <w:ilvl w:val="0"/>
          <w:numId w:val="1"/>
        </w:numPr>
        <w:spacing w:after="120" w:line="240" w:lineRule="auto"/>
        <w:rPr>
          <w:bCs/>
          <w:color w:val="000000" w:themeColor="text1"/>
        </w:rPr>
      </w:pPr>
      <w:r w:rsidRPr="00173347">
        <w:rPr>
          <w:bCs/>
          <w:color w:val="000000" w:themeColor="text1"/>
        </w:rPr>
        <w:t>Aider à prendre certaines décisions, réaliser les réajustements nécessaires.</w:t>
      </w:r>
    </w:p>
    <w:p w14:paraId="2E1C210A" w14:textId="7DC0424E" w:rsidR="009A5362" w:rsidRPr="00173347" w:rsidRDefault="00173347" w:rsidP="009A5362">
      <w:pPr>
        <w:spacing w:after="0" w:line="240" w:lineRule="auto"/>
        <w:jc w:val="both"/>
        <w:rPr>
          <w:b/>
          <w:bCs/>
          <w:iCs/>
          <w:color w:val="000000" w:themeColor="text1"/>
        </w:rPr>
      </w:pPr>
      <w:r w:rsidRPr="00173347">
        <w:rPr>
          <w:b/>
          <w:iCs/>
        </w:rPr>
        <w:sym w:font="Wingdings" w:char="F0DC"/>
      </w:r>
      <w:r w:rsidRPr="00173347">
        <w:rPr>
          <w:b/>
          <w:iCs/>
        </w:rPr>
        <w:t xml:space="preserve"> </w:t>
      </w:r>
      <w:r w:rsidR="009A5362" w:rsidRPr="00173347">
        <w:rPr>
          <w:b/>
          <w:bCs/>
          <w:iCs/>
          <w:color w:val="000000" w:themeColor="text1"/>
        </w:rPr>
        <w:t>Les outils de planification</w:t>
      </w:r>
    </w:p>
    <w:p w14:paraId="082C54FA" w14:textId="7191D7E7" w:rsidR="009A5362" w:rsidRPr="00DC1B7C" w:rsidRDefault="009A5362" w:rsidP="00943292">
      <w:pPr>
        <w:spacing w:after="120"/>
        <w:jc w:val="both"/>
      </w:pPr>
      <w:r w:rsidRPr="00DC1B7C">
        <w:t xml:space="preserve">De nombreux </w:t>
      </w:r>
      <w:r w:rsidRPr="00173347">
        <w:rPr>
          <w:b/>
          <w:bCs/>
        </w:rPr>
        <w:t xml:space="preserve">outils </w:t>
      </w:r>
      <w:r w:rsidRPr="00DC1B7C">
        <w:t>peuvent être utilisés lors d’une planification d’action d’éducation à la santé. Ils décrivent de manière détaillée les différentes phases de l’action. Ces outils sont désormais numériques, ce qui permet de les mettre sur un espace partagé</w:t>
      </w:r>
      <w:r w:rsidR="000437C5">
        <w:t>. I</w:t>
      </w:r>
      <w:r w:rsidRPr="00DC1B7C">
        <w:t>ls sont aisément consultables et facilement accessibles par toutes les parties prenantes.</w:t>
      </w:r>
    </w:p>
    <w:p w14:paraId="525E2FE8" w14:textId="7AE542B6" w:rsidR="009A5362" w:rsidRPr="00DC1B7C" w:rsidRDefault="000437C5" w:rsidP="00943292">
      <w:pPr>
        <w:spacing w:after="120" w:line="240" w:lineRule="auto"/>
        <w:jc w:val="both"/>
        <w:rPr>
          <w:rFonts w:eastAsia="Times New Roman" w:cs="Arial"/>
          <w:lang w:eastAsia="fr-FR"/>
        </w:rPr>
      </w:pPr>
      <w:r w:rsidRPr="009B13CE">
        <w:rPr>
          <w:b/>
          <w:iCs/>
        </w:rPr>
        <w:sym w:font="Wingdings" w:char="F0DC"/>
      </w:r>
      <w:r>
        <w:rPr>
          <w:b/>
          <w:iCs/>
        </w:rPr>
        <w:t xml:space="preserve"> </w:t>
      </w:r>
      <w:r w:rsidR="009A5362" w:rsidRPr="00DC1B7C">
        <w:rPr>
          <w:b/>
        </w:rPr>
        <w:t>Le diagramme de Gantt</w:t>
      </w:r>
      <w:r w:rsidR="009A5362" w:rsidRPr="00DC1B7C">
        <w:t xml:space="preserve"> </w:t>
      </w:r>
      <w:r w:rsidR="009A5362" w:rsidRPr="00DC1B7C">
        <w:rPr>
          <w:rFonts w:eastAsia="Times New Roman" w:cs="Arial"/>
          <w:lang w:eastAsia="fr-FR"/>
        </w:rPr>
        <w:t xml:space="preserve">représente graphiquement les différentes phases, les activités et/ou </w:t>
      </w:r>
      <w:r w:rsidR="00943292">
        <w:rPr>
          <w:rFonts w:eastAsia="Times New Roman" w:cs="Arial"/>
          <w:lang w:eastAsia="fr-FR"/>
        </w:rPr>
        <w:t xml:space="preserve">les </w:t>
      </w:r>
      <w:r w:rsidR="009A5362" w:rsidRPr="00DC1B7C">
        <w:rPr>
          <w:rFonts w:eastAsia="Times New Roman" w:cs="Arial"/>
          <w:lang w:eastAsia="fr-FR"/>
        </w:rPr>
        <w:t>actions et les situe dans le temps. La longueur des bandes donne une indication de la durée de la tâche.</w:t>
      </w:r>
      <w:r w:rsidR="00943292">
        <w:rPr>
          <w:rFonts w:eastAsia="Times New Roman" w:cs="Arial"/>
          <w:lang w:eastAsia="fr-FR"/>
        </w:rPr>
        <w:t xml:space="preserve"> </w:t>
      </w:r>
      <w:r w:rsidR="009A5362" w:rsidRPr="00DC1B7C">
        <w:rPr>
          <w:rFonts w:eastAsia="Times New Roman" w:cs="Arial"/>
          <w:lang w:eastAsia="fr-FR"/>
        </w:rPr>
        <w:t>Il est possible de repérer la succession des tâches</w:t>
      </w:r>
      <w:r w:rsidR="009A5362" w:rsidRPr="00DC1B7C">
        <w:rPr>
          <w:rFonts w:eastAsia="Times New Roman" w:cs="Arial"/>
          <w:color w:val="000000" w:themeColor="text1"/>
          <w:lang w:eastAsia="fr-FR"/>
        </w:rPr>
        <w:t xml:space="preserve">, celles qui sont réalisées en parallèle, entièrement ou partiellement (dans ce cas, les </w:t>
      </w:r>
      <w:r w:rsidR="009A5362" w:rsidRPr="00DC1B7C">
        <w:rPr>
          <w:rFonts w:eastAsia="Times New Roman" w:cs="Arial"/>
          <w:lang w:eastAsia="fr-FR"/>
        </w:rPr>
        <w:t>bandes se chevauchent).</w:t>
      </w:r>
    </w:p>
    <w:p w14:paraId="0260C31B" w14:textId="1D6E5972" w:rsidR="009A5362" w:rsidRPr="00DC1B7C" w:rsidRDefault="00943292" w:rsidP="00943292">
      <w:pPr>
        <w:spacing w:after="120" w:line="240" w:lineRule="auto"/>
        <w:jc w:val="both"/>
      </w:pPr>
      <w:r w:rsidRPr="009B13CE">
        <w:rPr>
          <w:b/>
          <w:iCs/>
        </w:rPr>
        <w:sym w:font="Wingdings" w:char="F0DC"/>
      </w:r>
      <w:r>
        <w:rPr>
          <w:b/>
          <w:iCs/>
        </w:rPr>
        <w:t xml:space="preserve"> </w:t>
      </w:r>
      <w:r w:rsidR="009A5362" w:rsidRPr="00DC1B7C">
        <w:rPr>
          <w:b/>
          <w:bCs/>
          <w:color w:val="000000" w:themeColor="text1"/>
        </w:rPr>
        <w:t>Le diagramme de Pert</w:t>
      </w:r>
      <w:r w:rsidR="009A5362" w:rsidRPr="00DC1B7C">
        <w:rPr>
          <w:color w:val="000000" w:themeColor="text1"/>
        </w:rPr>
        <w:t xml:space="preserve"> </w:t>
      </w:r>
      <w:r w:rsidR="009A5362" w:rsidRPr="00DC1B7C">
        <w:t xml:space="preserve">permet de modéliser, sous forme de bulles, toutes les tâches à </w:t>
      </w:r>
      <w:r w:rsidR="009A5362" w:rsidRPr="00943292">
        <w:t xml:space="preserve">réaliser, </w:t>
      </w:r>
      <w:r w:rsidR="009A5362" w:rsidRPr="00DC1B7C">
        <w:t xml:space="preserve">de mettre en évidence la dépendance des tâches les unes par rapport aux autres </w:t>
      </w:r>
      <w:r w:rsidR="009A5362" w:rsidRPr="00DC1B7C">
        <w:rPr>
          <w:color w:val="000000" w:themeColor="text1"/>
        </w:rPr>
        <w:t xml:space="preserve">et de déterminer </w:t>
      </w:r>
      <w:r>
        <w:rPr>
          <w:color w:val="000000" w:themeColor="text1"/>
        </w:rPr>
        <w:t>celles</w:t>
      </w:r>
      <w:r w:rsidR="009A5362" w:rsidRPr="00DC1B7C">
        <w:rPr>
          <w:color w:val="000000" w:themeColor="text1"/>
        </w:rPr>
        <w:t xml:space="preserve"> qui peuvent être faites dans </w:t>
      </w:r>
      <w:r w:rsidR="009A5362" w:rsidRPr="00DC1B7C">
        <w:t xml:space="preserve">le même temps. </w:t>
      </w:r>
    </w:p>
    <w:p w14:paraId="5529A4E5" w14:textId="58B6F808" w:rsidR="009A5362" w:rsidRPr="00DC1B7C" w:rsidRDefault="00943292" w:rsidP="00943292">
      <w:pPr>
        <w:spacing w:after="120" w:line="240" w:lineRule="auto"/>
        <w:ind w:left="33" w:right="459" w:hanging="33"/>
        <w:jc w:val="both"/>
      </w:pPr>
      <w:r w:rsidRPr="009B13CE">
        <w:rPr>
          <w:b/>
          <w:iCs/>
        </w:rPr>
        <w:sym w:font="Wingdings" w:char="F0DC"/>
      </w:r>
      <w:r>
        <w:rPr>
          <w:b/>
          <w:iCs/>
        </w:rPr>
        <w:t xml:space="preserve"> </w:t>
      </w:r>
      <w:r w:rsidR="009A5362" w:rsidRPr="00DC1B7C">
        <w:t xml:space="preserve">Le </w:t>
      </w:r>
      <w:r w:rsidR="009A5362" w:rsidRPr="00DC1B7C">
        <w:rPr>
          <w:b/>
          <w:bCs/>
        </w:rPr>
        <w:t>carnet de bord</w:t>
      </w:r>
      <w:r w:rsidR="009A5362" w:rsidRPr="00DC1B7C">
        <w:t xml:space="preserve"> permet de suivre régulièrement l’état d’avancement des tâches planifiées en détaillant chaque étape. </w:t>
      </w:r>
    </w:p>
    <w:p w14:paraId="39A7C6FA" w14:textId="325F34CF" w:rsidR="009A5362" w:rsidRPr="00DC1B7C" w:rsidRDefault="00943292" w:rsidP="00896A07">
      <w:pPr>
        <w:spacing w:after="280"/>
        <w:jc w:val="both"/>
      </w:pPr>
      <w:r w:rsidRPr="009B13CE">
        <w:rPr>
          <w:b/>
          <w:iCs/>
        </w:rPr>
        <w:sym w:font="Wingdings" w:char="F0DC"/>
      </w:r>
      <w:r>
        <w:rPr>
          <w:b/>
          <w:iCs/>
        </w:rPr>
        <w:t xml:space="preserve"> </w:t>
      </w:r>
      <w:r w:rsidR="009A5362" w:rsidRPr="00DC1B7C">
        <w:t xml:space="preserve">La </w:t>
      </w:r>
      <w:r w:rsidR="009A5362" w:rsidRPr="00DC1B7C">
        <w:rPr>
          <w:b/>
          <w:bCs/>
        </w:rPr>
        <w:t>carte mentale</w:t>
      </w:r>
      <w:r w:rsidR="009A5362" w:rsidRPr="00DC1B7C">
        <w:t xml:space="preserve"> permet de visualiser rapidement les différentes étapes de l’action. L’ajout de branches à chaque phase présente l’intérêt de pouvoir détailler chacune d’</w:t>
      </w:r>
      <w:r w:rsidR="009A5362" w:rsidRPr="00DC1B7C">
        <w:rPr>
          <w:color w:val="000000" w:themeColor="text1"/>
        </w:rPr>
        <w:t xml:space="preserve">elles </w:t>
      </w:r>
      <w:r w:rsidR="009A5362" w:rsidRPr="00DC1B7C">
        <w:t>(comment ? Qui est impliqué</w:t>
      </w:r>
      <w:r w:rsidR="00896A07">
        <w:t> ?</w:t>
      </w:r>
      <w:r w:rsidR="009A5362" w:rsidRPr="00DC1B7C">
        <w:t>). Très visuelle elle fournit une vue d’ensemble synthétique de toutes les étapes.</w:t>
      </w:r>
    </w:p>
    <w:p w14:paraId="748930DF" w14:textId="1FE5C0AD" w:rsidR="009A5362" w:rsidRDefault="009A5362" w:rsidP="00943292">
      <w:pPr>
        <w:spacing w:after="0" w:line="240" w:lineRule="auto"/>
        <w:jc w:val="both"/>
        <w:rPr>
          <w:b/>
        </w:rPr>
      </w:pPr>
      <w:r>
        <w:rPr>
          <w:b/>
        </w:rPr>
        <w:t>2</w:t>
      </w:r>
      <w:r w:rsidR="00896A07">
        <w:rPr>
          <w:b/>
        </w:rPr>
        <w:t>.</w:t>
      </w:r>
      <w:r w:rsidRPr="00C772C2">
        <w:rPr>
          <w:b/>
        </w:rPr>
        <w:t xml:space="preserve"> Les supports mobilisés pour une action d’éducation à la santé</w:t>
      </w:r>
    </w:p>
    <w:p w14:paraId="4C1D7946" w14:textId="77777777" w:rsidR="00896A07" w:rsidRPr="00C772C2" w:rsidRDefault="00896A07" w:rsidP="00943292">
      <w:pPr>
        <w:spacing w:after="0" w:line="240" w:lineRule="auto"/>
        <w:jc w:val="both"/>
        <w:rPr>
          <w:b/>
        </w:rPr>
      </w:pPr>
    </w:p>
    <w:p w14:paraId="4E24C2DD" w14:textId="21C256C3" w:rsidR="009A5362" w:rsidRDefault="009A5362" w:rsidP="00896A07">
      <w:pPr>
        <w:spacing w:after="120" w:line="240" w:lineRule="auto"/>
        <w:jc w:val="both"/>
      </w:pPr>
      <w:r>
        <w:t>Des supports variés peuvent être utilisés lors de la mise en œuvre d’actions d’éducation à la santé. Ces supports peuvent être conçus par la personne ayant en charge l’action d’éducation à la santé ou être puisés dans des ressources existantes.</w:t>
      </w:r>
    </w:p>
    <w:p w14:paraId="735468D5" w14:textId="40F6A09C" w:rsidR="009A5362" w:rsidRPr="00896A07" w:rsidRDefault="00896A07" w:rsidP="00943292">
      <w:pPr>
        <w:spacing w:after="0" w:line="240" w:lineRule="auto"/>
        <w:jc w:val="both"/>
        <w:rPr>
          <w:b/>
          <w:iCs/>
        </w:rPr>
      </w:pPr>
      <w:r w:rsidRPr="009B13CE">
        <w:rPr>
          <w:b/>
          <w:iCs/>
        </w:rPr>
        <w:sym w:font="Wingdings" w:char="F0DC"/>
      </w:r>
      <w:r>
        <w:rPr>
          <w:b/>
          <w:iCs/>
        </w:rPr>
        <w:t xml:space="preserve"> </w:t>
      </w:r>
      <w:r w:rsidR="009A5362" w:rsidRPr="00896A07">
        <w:rPr>
          <w:b/>
          <w:iCs/>
        </w:rPr>
        <w:t>Les caractéristiques d’un support</w:t>
      </w:r>
    </w:p>
    <w:p w14:paraId="17287DB6" w14:textId="1859C867" w:rsidR="009A5362" w:rsidRPr="00B35EF6" w:rsidRDefault="009A5362" w:rsidP="00943292">
      <w:pPr>
        <w:spacing w:after="0" w:line="240" w:lineRule="auto"/>
        <w:jc w:val="both"/>
        <w:rPr>
          <w:rFonts w:cs="Arial"/>
          <w:color w:val="000000"/>
        </w:rPr>
      </w:pPr>
      <w:r>
        <w:rPr>
          <w:rFonts w:cs="Arial"/>
          <w:color w:val="000000"/>
        </w:rPr>
        <w:t>Le support, adapté au public et à la thématique</w:t>
      </w:r>
      <w:r w:rsidR="00B35EF6">
        <w:rPr>
          <w:rFonts w:cs="Arial"/>
          <w:color w:val="000000"/>
        </w:rPr>
        <w:t>,</w:t>
      </w:r>
      <w:r>
        <w:rPr>
          <w:rFonts w:cs="Arial"/>
          <w:color w:val="000000"/>
        </w:rPr>
        <w:t xml:space="preserve"> doit être attractif</w:t>
      </w:r>
      <w:r w:rsidR="00B35EF6">
        <w:rPr>
          <w:rFonts w:cs="Arial"/>
          <w:color w:val="000000"/>
        </w:rPr>
        <w:t xml:space="preserve"> ; il doit </w:t>
      </w:r>
      <w:r>
        <w:rPr>
          <w:rFonts w:cs="Arial"/>
          <w:color w:val="000000"/>
        </w:rPr>
        <w:t>donn</w:t>
      </w:r>
      <w:r w:rsidR="00B35EF6">
        <w:rPr>
          <w:rFonts w:cs="Arial"/>
          <w:color w:val="000000"/>
        </w:rPr>
        <w:t>er</w:t>
      </w:r>
      <w:r>
        <w:rPr>
          <w:rFonts w:cs="Arial"/>
          <w:color w:val="000000"/>
        </w:rPr>
        <w:t xml:space="preserve"> envie d’être lu </w:t>
      </w:r>
      <w:r w:rsidR="00B35EF6">
        <w:rPr>
          <w:rFonts w:cs="Arial"/>
          <w:color w:val="000000"/>
        </w:rPr>
        <w:t>(</w:t>
      </w:r>
      <w:r>
        <w:rPr>
          <w:rFonts w:cs="Arial"/>
          <w:color w:val="000000"/>
        </w:rPr>
        <w:t xml:space="preserve">images de qualité, colorées, </w:t>
      </w:r>
      <w:proofErr w:type="spellStart"/>
      <w:r>
        <w:rPr>
          <w:rFonts w:cs="Arial"/>
          <w:color w:val="000000"/>
        </w:rPr>
        <w:t>son</w:t>
      </w:r>
      <w:proofErr w:type="spellEnd"/>
      <w:r>
        <w:rPr>
          <w:rFonts w:cs="Arial"/>
          <w:color w:val="000000"/>
        </w:rPr>
        <w:t xml:space="preserve"> de qualité </w:t>
      </w:r>
      <w:r w:rsidR="00B35EF6">
        <w:rPr>
          <w:rFonts w:cs="Arial"/>
          <w:color w:val="000000"/>
        </w:rPr>
        <w:t xml:space="preserve">dans le cas d’un </w:t>
      </w:r>
      <w:r>
        <w:rPr>
          <w:rFonts w:cs="Arial"/>
          <w:color w:val="000000"/>
        </w:rPr>
        <w:t>support audio ou vidéo…</w:t>
      </w:r>
      <w:r w:rsidR="00B35EF6">
        <w:rPr>
          <w:rFonts w:cs="Arial"/>
          <w:color w:val="000000"/>
        </w:rPr>
        <w:t>). Le support</w:t>
      </w:r>
      <w:r w:rsidRPr="00C772C2">
        <w:t xml:space="preserve"> </w:t>
      </w:r>
      <w:r>
        <w:t>doit être au plus près du public et s’adapter aux compétences de l’animateur.</w:t>
      </w:r>
    </w:p>
    <w:p w14:paraId="076B5CD4" w14:textId="5EDF4B1A" w:rsidR="009A5362" w:rsidRDefault="009A5362" w:rsidP="00943292">
      <w:pPr>
        <w:spacing w:after="0" w:line="240" w:lineRule="auto"/>
        <w:jc w:val="both"/>
      </w:pPr>
      <w:r>
        <w:t xml:space="preserve">La taille des caractères </w:t>
      </w:r>
      <w:r w:rsidR="00B35EF6">
        <w:t>varie selon le</w:t>
      </w:r>
      <w:r>
        <w:t xml:space="preserve"> public (caractères plus gros pour </w:t>
      </w:r>
      <w:r w:rsidR="00B35EF6">
        <w:t>l</w:t>
      </w:r>
      <w:r>
        <w:t xml:space="preserve">es personnes âgées). </w:t>
      </w:r>
    </w:p>
    <w:p w14:paraId="3CD4DCD9" w14:textId="375116B6" w:rsidR="009A5362" w:rsidRDefault="009A5362" w:rsidP="00943292">
      <w:pPr>
        <w:spacing w:after="0" w:line="240" w:lineRule="auto"/>
        <w:jc w:val="both"/>
      </w:pPr>
      <w:r>
        <w:lastRenderedPageBreak/>
        <w:t xml:space="preserve">Les images sont privilégiées pour les publics </w:t>
      </w:r>
      <w:proofErr w:type="gramStart"/>
      <w:r>
        <w:t>non lecteurs</w:t>
      </w:r>
      <w:proofErr w:type="gramEnd"/>
      <w:r>
        <w:t xml:space="preserve"> ou ne maîtrisant pas la langue. Celles-ci doivent être choisies de manière que le message qu’elles diffusent ne puisse faire l’objet d’interprétation erronée.</w:t>
      </w:r>
      <w:r w:rsidRPr="00C772C2">
        <w:t xml:space="preserve"> </w:t>
      </w:r>
    </w:p>
    <w:p w14:paraId="4D2954A3" w14:textId="03F639C9" w:rsidR="009A5362" w:rsidRPr="00DC1B7C" w:rsidRDefault="009A5362" w:rsidP="00943292">
      <w:pPr>
        <w:spacing w:after="0" w:line="240" w:lineRule="auto"/>
        <w:jc w:val="both"/>
      </w:pPr>
      <w:r w:rsidRPr="00DC1B7C">
        <w:t>Les informations fournies par le support sont exactes, pérennes</w:t>
      </w:r>
      <w:r w:rsidR="00EB65B0">
        <w:t xml:space="preserve"> et</w:t>
      </w:r>
      <w:r w:rsidRPr="00DC1B7C">
        <w:t xml:space="preserve"> utilisent un vocabulaire adapté. </w:t>
      </w:r>
    </w:p>
    <w:p w14:paraId="45A0C8F5" w14:textId="783C516E" w:rsidR="009A5362" w:rsidRPr="00DC1B7C" w:rsidRDefault="009A5362" w:rsidP="00943292">
      <w:pPr>
        <w:spacing w:after="0" w:line="240" w:lineRule="auto"/>
        <w:jc w:val="both"/>
      </w:pPr>
      <w:r w:rsidRPr="00DC1B7C">
        <w:rPr>
          <w:rFonts w:cs="Arial"/>
          <w:noProof/>
          <w:color w:val="000000"/>
          <w:lang w:eastAsia="fr-FR"/>
        </w:rPr>
        <w:t xml:space="preserve">Les </w:t>
      </w:r>
      <w:r w:rsidRPr="00DC1B7C">
        <w:rPr>
          <w:rFonts w:cs="Arial"/>
          <w:color w:val="000000"/>
        </w:rPr>
        <w:t>illustrations sont en relation avec le vécu du public</w:t>
      </w:r>
      <w:r w:rsidR="00EB65B0">
        <w:rPr>
          <w:rFonts w:cs="Arial"/>
          <w:color w:val="000000"/>
        </w:rPr>
        <w:t>,</w:t>
      </w:r>
      <w:r w:rsidRPr="00DC1B7C">
        <w:rPr>
          <w:rFonts w:cs="Arial"/>
          <w:color w:val="000000"/>
        </w:rPr>
        <w:t xml:space="preserve"> afin qu’il puisse se reconnaître et s’identifier (témoignages, expériences de vie similaires …).</w:t>
      </w:r>
      <w:r w:rsidRPr="00DC1B7C">
        <w:t xml:space="preserve"> Le support doit être facile à utiliser, robuste et </w:t>
      </w:r>
      <w:r w:rsidR="00EB65B0">
        <w:t xml:space="preserve">doit </w:t>
      </w:r>
      <w:r w:rsidRPr="00DC1B7C">
        <w:t>s’appuyer sur une analyse des besoins du public.</w:t>
      </w:r>
    </w:p>
    <w:p w14:paraId="444A2D61" w14:textId="029B0A17" w:rsidR="009A5362" w:rsidRPr="00DC1B7C" w:rsidRDefault="009A5362" w:rsidP="00943292">
      <w:pPr>
        <w:spacing w:after="0" w:line="240" w:lineRule="auto"/>
        <w:jc w:val="both"/>
      </w:pPr>
      <w:r w:rsidRPr="00DC1B7C">
        <w:t>De nombreux supports peuvent être utilisés en éducation à la santé : affiches, tracts,</w:t>
      </w:r>
      <w:r w:rsidR="00EB65B0">
        <w:t xml:space="preserve"> </w:t>
      </w:r>
      <w:r w:rsidRPr="00DC1B7C">
        <w:t xml:space="preserve">dépliants, brochures, bandes dessinées, comptines, vidéos… </w:t>
      </w:r>
    </w:p>
    <w:p w14:paraId="79255D31" w14:textId="2BD348EC" w:rsidR="009A5362" w:rsidRPr="006857ED" w:rsidRDefault="009A5362" w:rsidP="006857ED">
      <w:pPr>
        <w:spacing w:after="120" w:line="240" w:lineRule="auto"/>
        <w:jc w:val="both"/>
      </w:pPr>
      <w:r w:rsidRPr="00DC1B7C">
        <w:t xml:space="preserve">De nombreux jeux peuvent aussi être mis en place : jeux de l’oie, jeux de cartes, quizz, </w:t>
      </w:r>
      <w:proofErr w:type="spellStart"/>
      <w:r w:rsidR="00803312">
        <w:t>S</w:t>
      </w:r>
      <w:r w:rsidRPr="00DC1B7C">
        <w:t>erious</w:t>
      </w:r>
      <w:proofErr w:type="spellEnd"/>
      <w:r w:rsidRPr="00DC1B7C">
        <w:t xml:space="preserve"> </w:t>
      </w:r>
      <w:r w:rsidR="00803312">
        <w:t>G</w:t>
      </w:r>
      <w:r w:rsidRPr="00DC1B7C">
        <w:t xml:space="preserve">ame, </w:t>
      </w:r>
      <w:r w:rsidR="00803312">
        <w:t>E</w:t>
      </w:r>
      <w:r w:rsidRPr="00DC1B7C">
        <w:t xml:space="preserve">scapes </w:t>
      </w:r>
      <w:r w:rsidR="00803312">
        <w:t>G</w:t>
      </w:r>
      <w:r w:rsidRPr="00DC1B7C">
        <w:t>ames …</w:t>
      </w:r>
    </w:p>
    <w:p w14:paraId="297528CC" w14:textId="558F6CC4" w:rsidR="009A5362" w:rsidRPr="006857ED" w:rsidRDefault="006857ED" w:rsidP="00943292">
      <w:pPr>
        <w:spacing w:after="0" w:line="240" w:lineRule="auto"/>
        <w:jc w:val="both"/>
        <w:rPr>
          <w:rFonts w:cs="Arial"/>
          <w:b/>
          <w:iCs/>
          <w:color w:val="000000"/>
        </w:rPr>
      </w:pPr>
      <w:r w:rsidRPr="009B13CE">
        <w:rPr>
          <w:b/>
          <w:iCs/>
        </w:rPr>
        <w:sym w:font="Wingdings" w:char="F0DC"/>
      </w:r>
      <w:r>
        <w:rPr>
          <w:b/>
          <w:iCs/>
        </w:rPr>
        <w:t xml:space="preserve"> </w:t>
      </w:r>
      <w:r w:rsidR="009A5362" w:rsidRPr="006857ED">
        <w:rPr>
          <w:rFonts w:cs="Arial"/>
          <w:b/>
          <w:iCs/>
          <w:color w:val="000000"/>
        </w:rPr>
        <w:t>La conception d’un support</w:t>
      </w:r>
    </w:p>
    <w:p w14:paraId="62E24491" w14:textId="73722627" w:rsidR="009A5362" w:rsidRDefault="009A5362" w:rsidP="006857ED">
      <w:pPr>
        <w:spacing w:after="0" w:line="240" w:lineRule="auto"/>
        <w:jc w:val="both"/>
      </w:pPr>
      <w:r>
        <w:t>Une telle conception est chronophage et peut avoir un coût non négligeable. Elle est nécessaire quand l’animateur n’a pas trouvé de supports déjà existants.</w:t>
      </w:r>
      <w:r w:rsidR="006857ED">
        <w:t xml:space="preserve"> </w:t>
      </w:r>
      <w:r>
        <w:t>Le support conçu doit répondre aux critères énoncés dans le paragraphe précèdent.</w:t>
      </w:r>
      <w:r w:rsidR="00052CFE">
        <w:t xml:space="preserve"> </w:t>
      </w:r>
      <w:r w:rsidRPr="006E2D7E">
        <w:t>La concep</w:t>
      </w:r>
      <w:r>
        <w:t xml:space="preserve">tion de supports </w:t>
      </w:r>
      <w:r w:rsidRPr="006E2D7E">
        <w:t>s’effectue désormais à l’aide d’outils numériques. La mise en page et la composition sont facilitées et offrent une bonne qualité visuelle, un bon graphisme.</w:t>
      </w:r>
    </w:p>
    <w:p w14:paraId="08AE31A6" w14:textId="4405B024" w:rsidR="009A5362" w:rsidRPr="00336B49" w:rsidRDefault="009A5362" w:rsidP="00EA50DB">
      <w:pPr>
        <w:spacing w:after="80" w:line="240" w:lineRule="auto"/>
        <w:jc w:val="both"/>
      </w:pPr>
      <w:r>
        <w:t xml:space="preserve">Il existe plusieurs outils : </w:t>
      </w:r>
      <w:proofErr w:type="spellStart"/>
      <w:r w:rsidRPr="006E2D7E">
        <w:t>Microsoft©Word</w:t>
      </w:r>
      <w:proofErr w:type="spellEnd"/>
      <w:r>
        <w:t xml:space="preserve">, </w:t>
      </w:r>
      <w:proofErr w:type="spellStart"/>
      <w:r w:rsidRPr="006E2D7E">
        <w:t>Microsoft©Publisher</w:t>
      </w:r>
      <w:proofErr w:type="spellEnd"/>
      <w:r>
        <w:t>…</w:t>
      </w:r>
      <w:r w:rsidR="00052CFE">
        <w:t xml:space="preserve"> </w:t>
      </w:r>
      <w:r w:rsidRPr="006E2D7E">
        <w:t xml:space="preserve">D’autres outils ou sites, avec des versions gratuites, tels que </w:t>
      </w:r>
      <w:proofErr w:type="spellStart"/>
      <w:r w:rsidRPr="006E2D7E">
        <w:t>Canva</w:t>
      </w:r>
      <w:proofErr w:type="spellEnd"/>
      <w:r w:rsidRPr="006E2D7E">
        <w:t xml:space="preserve">, </w:t>
      </w:r>
      <w:proofErr w:type="spellStart"/>
      <w:r w:rsidRPr="006E2D7E">
        <w:t>Picktochart</w:t>
      </w:r>
      <w:proofErr w:type="spellEnd"/>
      <w:r w:rsidRPr="006E2D7E">
        <w:t xml:space="preserve">, </w:t>
      </w:r>
      <w:proofErr w:type="spellStart"/>
      <w:r w:rsidRPr="006E2D7E">
        <w:t>Lucidpress</w:t>
      </w:r>
      <w:proofErr w:type="spellEnd"/>
      <w:r w:rsidRPr="006E2D7E">
        <w:t xml:space="preserve">…  </w:t>
      </w:r>
      <w:proofErr w:type="gramStart"/>
      <w:r w:rsidRPr="006E2D7E">
        <w:t>donnent</w:t>
      </w:r>
      <w:proofErr w:type="gramEnd"/>
      <w:r w:rsidRPr="006E2D7E">
        <w:t xml:space="preserve"> aussi accès à de nombreux modèles. </w:t>
      </w:r>
    </w:p>
    <w:p w14:paraId="1DB365F4" w14:textId="77777777" w:rsidR="009A5362" w:rsidRPr="00C772C2" w:rsidRDefault="009A5362" w:rsidP="006857ED">
      <w:pPr>
        <w:spacing w:after="0" w:line="240" w:lineRule="auto"/>
        <w:jc w:val="both"/>
      </w:pPr>
    </w:p>
    <w:p w14:paraId="065B0169" w14:textId="757D844D" w:rsidR="009A5362" w:rsidRDefault="009A5362" w:rsidP="006857ED">
      <w:pPr>
        <w:spacing w:after="0" w:line="240" w:lineRule="auto"/>
        <w:jc w:val="both"/>
        <w:rPr>
          <w:b/>
        </w:rPr>
      </w:pPr>
      <w:r>
        <w:rPr>
          <w:b/>
        </w:rPr>
        <w:t>3</w:t>
      </w:r>
      <w:r w:rsidR="00EA50DB">
        <w:rPr>
          <w:b/>
        </w:rPr>
        <w:t>.</w:t>
      </w:r>
      <w:r w:rsidRPr="00C772C2">
        <w:rPr>
          <w:b/>
        </w:rPr>
        <w:t xml:space="preserve"> Les partenariats</w:t>
      </w:r>
    </w:p>
    <w:p w14:paraId="6B49684B" w14:textId="77777777" w:rsidR="00EA50DB" w:rsidRDefault="00EA50DB" w:rsidP="006857ED">
      <w:pPr>
        <w:spacing w:after="0" w:line="240" w:lineRule="auto"/>
        <w:jc w:val="both"/>
        <w:rPr>
          <w:b/>
        </w:rPr>
      </w:pPr>
    </w:p>
    <w:p w14:paraId="1210D685" w14:textId="604CC6D8" w:rsidR="009A5362" w:rsidRPr="00DC1B7C" w:rsidRDefault="009A5362" w:rsidP="006857ED">
      <w:pPr>
        <w:spacing w:after="0" w:line="240" w:lineRule="auto"/>
        <w:jc w:val="both"/>
      </w:pPr>
      <w:r w:rsidRPr="003E4A10">
        <w:rPr>
          <w:b/>
          <w:bCs/>
        </w:rPr>
        <w:t>L’activité en partenariat</w:t>
      </w:r>
      <w:r w:rsidRPr="00DC1B7C">
        <w:t xml:space="preserve"> est enrichissante pour l’équipe</w:t>
      </w:r>
      <w:r w:rsidR="00EA50DB">
        <w:t>, elle p</w:t>
      </w:r>
      <w:r w:rsidRPr="00DC1B7C">
        <w:t xml:space="preserve">ermet un travail pluridisciplinaire, mutualise les ressources et les compétences. </w:t>
      </w:r>
      <w:r w:rsidR="00314E0E">
        <w:t>De plus, c</w:t>
      </w:r>
      <w:r w:rsidRPr="00DC1B7C">
        <w:t>ertains partenaires offrent un appui financier.</w:t>
      </w:r>
      <w:r w:rsidR="003E4A10">
        <w:t xml:space="preserve"> </w:t>
      </w:r>
      <w:r w:rsidRPr="00DC1B7C">
        <w:t xml:space="preserve">Les partenaires sollicités peuvent être </w:t>
      </w:r>
      <w:r w:rsidRPr="003E4A10">
        <w:rPr>
          <w:b/>
          <w:bCs/>
        </w:rPr>
        <w:t>internes à la structure</w:t>
      </w:r>
      <w:r w:rsidRPr="00DC1B7C">
        <w:t xml:space="preserve"> (</w:t>
      </w:r>
      <w:r w:rsidR="00314E0E">
        <w:t xml:space="preserve">par </w:t>
      </w:r>
      <w:r w:rsidRPr="00DC1B7C">
        <w:t>exemple</w:t>
      </w:r>
      <w:r w:rsidR="00314E0E">
        <w:t>,</w:t>
      </w:r>
      <w:r w:rsidR="00347733">
        <w:t xml:space="preserve"> </w:t>
      </w:r>
      <w:r w:rsidR="00314E0E">
        <w:t>l’</w:t>
      </w:r>
      <w:r w:rsidRPr="00DC1B7C">
        <w:t xml:space="preserve">intervention de l’infirmière scolaire dans le cadre d’une prévention en collège) ou </w:t>
      </w:r>
      <w:r w:rsidRPr="003E4A10">
        <w:rPr>
          <w:b/>
          <w:bCs/>
        </w:rPr>
        <w:t>externes</w:t>
      </w:r>
      <w:r w:rsidRPr="00DC1B7C">
        <w:t xml:space="preserve"> (</w:t>
      </w:r>
      <w:r w:rsidR="00347733">
        <w:t xml:space="preserve">la </w:t>
      </w:r>
      <w:r w:rsidRPr="00DC1B7C">
        <w:t>sollicitation d’une association locale). Pour des interventions dans l’éducation nationale, les associations sollicitées comme partenaires doivent avoir un agrément</w:t>
      </w:r>
      <w:r w:rsidR="00347733">
        <w:t>.</w:t>
      </w:r>
    </w:p>
    <w:p w14:paraId="4F0AC1B5" w14:textId="2B0F2E5D" w:rsidR="009A5362" w:rsidRPr="00670A65" w:rsidRDefault="009A5362" w:rsidP="00670A65">
      <w:pPr>
        <w:spacing w:after="280" w:line="240" w:lineRule="auto"/>
        <w:jc w:val="both"/>
      </w:pPr>
      <w:r w:rsidRPr="00DC1B7C">
        <w:t xml:space="preserve">Quelle que soit la structure, l’autorité hiérarchique doit avoir validé cette participation et vérifié les conditions administratives (assurances…).  </w:t>
      </w:r>
    </w:p>
    <w:p w14:paraId="6AB6299F" w14:textId="38C95273" w:rsidR="009A5362" w:rsidRDefault="009A5362" w:rsidP="006857ED">
      <w:pPr>
        <w:spacing w:after="0" w:line="240" w:lineRule="auto"/>
        <w:jc w:val="both"/>
        <w:rPr>
          <w:b/>
        </w:rPr>
      </w:pPr>
      <w:r>
        <w:rPr>
          <w:b/>
        </w:rPr>
        <w:t>4</w:t>
      </w:r>
      <w:r w:rsidR="004F0771">
        <w:rPr>
          <w:b/>
        </w:rPr>
        <w:t>.</w:t>
      </w:r>
      <w:r w:rsidRPr="00C772C2">
        <w:rPr>
          <w:b/>
        </w:rPr>
        <w:t xml:space="preserve"> Les ressources documentaires</w:t>
      </w:r>
    </w:p>
    <w:p w14:paraId="1E6CCF96" w14:textId="77777777" w:rsidR="004F0771" w:rsidRDefault="004F0771" w:rsidP="006857ED">
      <w:pPr>
        <w:spacing w:after="0" w:line="240" w:lineRule="auto"/>
        <w:jc w:val="both"/>
        <w:rPr>
          <w:b/>
        </w:rPr>
      </w:pPr>
    </w:p>
    <w:p w14:paraId="4ABF9272" w14:textId="2FBE5AD6" w:rsidR="009A5362" w:rsidRPr="00DC1B7C" w:rsidRDefault="009A5362" w:rsidP="006857ED">
      <w:pPr>
        <w:spacing w:after="0" w:line="240" w:lineRule="auto"/>
        <w:jc w:val="both"/>
      </w:pPr>
      <w:r w:rsidRPr="00DC1B7C">
        <w:t xml:space="preserve">Les actions d’éducation à la santé nécessitent d’effectuer des </w:t>
      </w:r>
      <w:r w:rsidRPr="003E4A10">
        <w:rPr>
          <w:b/>
          <w:bCs/>
        </w:rPr>
        <w:t>recherches documentaires</w:t>
      </w:r>
      <w:r w:rsidRPr="00DC1B7C">
        <w:t xml:space="preserve"> et de compiler des informations sur la thématique retenue. L’ensemble documentaire permet donc de rassembler les informations collectées, de les sélectionner, de les classer, le cas échéant de les archiver. Un ensemble documentaire constitue donc une banque de données judicieusement sélectionnées, comportant des documents variés (textes, statistiques, images, dépliants, brochures, vidéogrammes, témoignages…)</w:t>
      </w:r>
      <w:r w:rsidR="00DD60EC">
        <w:t>.</w:t>
      </w:r>
    </w:p>
    <w:p w14:paraId="69668257" w14:textId="37F02A6D" w:rsidR="009A5362" w:rsidRPr="00C772C2" w:rsidRDefault="009A5362" w:rsidP="009857D4">
      <w:pPr>
        <w:pStyle w:val="NormalWeb"/>
        <w:spacing w:before="0" w:beforeAutospacing="0" w:after="280" w:afterAutospacing="0"/>
        <w:jc w:val="both"/>
        <w:rPr>
          <w:b/>
        </w:rPr>
      </w:pPr>
      <w:r w:rsidRPr="00682B49">
        <w:rPr>
          <w:rFonts w:ascii="Arial" w:hAnsi="Arial" w:cs="Arial"/>
          <w:color w:val="000000" w:themeColor="text1"/>
          <w:sz w:val="22"/>
          <w:szCs w:val="22"/>
        </w:rPr>
        <w:t>L’utilisation d’</w:t>
      </w:r>
      <w:r w:rsidRPr="003E4A10">
        <w:rPr>
          <w:rFonts w:ascii="Arial" w:hAnsi="Arial" w:cs="Arial"/>
          <w:b/>
          <w:bCs/>
          <w:color w:val="000000" w:themeColor="text1"/>
          <w:sz w:val="22"/>
          <w:szCs w:val="22"/>
        </w:rPr>
        <w:t>Internet</w:t>
      </w:r>
      <w:r w:rsidRPr="00682B49">
        <w:rPr>
          <w:rFonts w:ascii="Arial" w:hAnsi="Arial" w:cs="Arial"/>
          <w:color w:val="000000" w:themeColor="text1"/>
          <w:sz w:val="22"/>
          <w:szCs w:val="22"/>
        </w:rPr>
        <w:t xml:space="preserve"> pour réaliser une recherche documentaire est désormais incontournable. Le ou l</w:t>
      </w:r>
      <w:r>
        <w:rPr>
          <w:rFonts w:ascii="Arial" w:hAnsi="Arial" w:cs="Arial"/>
          <w:color w:val="000000" w:themeColor="text1"/>
          <w:sz w:val="22"/>
          <w:szCs w:val="22"/>
        </w:rPr>
        <w:t>es mots clés retenus sont</w:t>
      </w:r>
      <w:r w:rsidRPr="00682B49">
        <w:rPr>
          <w:rFonts w:ascii="Arial" w:hAnsi="Arial" w:cs="Arial"/>
          <w:color w:val="000000" w:themeColor="text1"/>
          <w:sz w:val="22"/>
          <w:szCs w:val="22"/>
        </w:rPr>
        <w:t xml:space="preserve"> saisis dans un moteur de recherche. Il existe de nombreux moteurs permettant d’ef</w:t>
      </w:r>
      <w:r>
        <w:rPr>
          <w:rFonts w:ascii="Arial" w:hAnsi="Arial" w:cs="Arial"/>
          <w:color w:val="000000" w:themeColor="text1"/>
          <w:sz w:val="22"/>
          <w:szCs w:val="22"/>
        </w:rPr>
        <w:t xml:space="preserve">fectuer une recherche en ligne (Google, </w:t>
      </w:r>
      <w:proofErr w:type="spellStart"/>
      <w:r>
        <w:rPr>
          <w:rFonts w:ascii="Arial" w:hAnsi="Arial" w:cs="Arial"/>
          <w:color w:val="000000" w:themeColor="text1"/>
          <w:sz w:val="22"/>
          <w:szCs w:val="22"/>
        </w:rPr>
        <w:t>Qwant</w:t>
      </w:r>
      <w:proofErr w:type="spellEnd"/>
      <w:r>
        <w:rPr>
          <w:rFonts w:ascii="Arial" w:hAnsi="Arial" w:cs="Arial"/>
          <w:color w:val="000000" w:themeColor="text1"/>
          <w:sz w:val="22"/>
          <w:szCs w:val="22"/>
        </w:rPr>
        <w:t xml:space="preserve">, </w:t>
      </w:r>
      <w:r w:rsidRPr="00682B49">
        <w:rPr>
          <w:rFonts w:ascii="Arial" w:hAnsi="Arial" w:cs="Arial"/>
          <w:color w:val="000000" w:themeColor="text1"/>
          <w:sz w:val="22"/>
          <w:szCs w:val="22"/>
        </w:rPr>
        <w:t>Google images</w:t>
      </w:r>
      <w:r>
        <w:rPr>
          <w:rFonts w:ascii="Arial" w:hAnsi="Arial" w:cs="Arial"/>
          <w:color w:val="000000" w:themeColor="text1"/>
          <w:sz w:val="22"/>
          <w:szCs w:val="22"/>
        </w:rPr>
        <w:t>…)</w:t>
      </w:r>
      <w:r w:rsidR="003E4A10">
        <w:rPr>
          <w:rFonts w:ascii="Arial" w:hAnsi="Arial" w:cs="Arial"/>
          <w:color w:val="000000" w:themeColor="text1"/>
          <w:sz w:val="22"/>
          <w:szCs w:val="22"/>
        </w:rPr>
        <w:t>. I</w:t>
      </w:r>
      <w:r w:rsidRPr="00682B49">
        <w:rPr>
          <w:rFonts w:ascii="Arial" w:hAnsi="Arial" w:cs="Arial"/>
          <w:color w:val="000000" w:themeColor="text1"/>
          <w:sz w:val="22"/>
          <w:szCs w:val="22"/>
        </w:rPr>
        <w:t xml:space="preserve">l est important de sélectionner les pages ou </w:t>
      </w:r>
      <w:r w:rsidR="003E4A10">
        <w:rPr>
          <w:rFonts w:ascii="Arial" w:hAnsi="Arial" w:cs="Arial"/>
          <w:color w:val="000000" w:themeColor="text1"/>
          <w:sz w:val="22"/>
          <w:szCs w:val="22"/>
        </w:rPr>
        <w:t xml:space="preserve">les </w:t>
      </w:r>
      <w:r w:rsidRPr="00682B49">
        <w:rPr>
          <w:rFonts w:ascii="Arial" w:hAnsi="Arial" w:cs="Arial"/>
          <w:color w:val="000000" w:themeColor="text1"/>
          <w:sz w:val="22"/>
          <w:szCs w:val="22"/>
        </w:rPr>
        <w:t xml:space="preserve">sites les plus fiables et de </w:t>
      </w:r>
    </w:p>
    <w:p w14:paraId="1CA33AAB" w14:textId="02D7F33A" w:rsidR="009A5362" w:rsidRDefault="009A5362" w:rsidP="006857ED">
      <w:pPr>
        <w:spacing w:after="0" w:line="240" w:lineRule="auto"/>
        <w:jc w:val="both"/>
        <w:rPr>
          <w:b/>
        </w:rPr>
      </w:pPr>
      <w:r w:rsidRPr="003E4A10">
        <w:rPr>
          <w:b/>
        </w:rPr>
        <w:t>5</w:t>
      </w:r>
      <w:r w:rsidR="009857D4">
        <w:rPr>
          <w:b/>
        </w:rPr>
        <w:t>.</w:t>
      </w:r>
      <w:r w:rsidRPr="003E4A10">
        <w:rPr>
          <w:b/>
        </w:rPr>
        <w:t xml:space="preserve"> La communication</w:t>
      </w:r>
    </w:p>
    <w:p w14:paraId="319A9A50" w14:textId="77777777" w:rsidR="009857D4" w:rsidRPr="003E4A10" w:rsidRDefault="009857D4" w:rsidP="006857ED">
      <w:pPr>
        <w:spacing w:after="0" w:line="240" w:lineRule="auto"/>
        <w:jc w:val="both"/>
        <w:rPr>
          <w:b/>
        </w:rPr>
      </w:pPr>
    </w:p>
    <w:p w14:paraId="3D0E7DA6" w14:textId="77777777" w:rsidR="009A5362" w:rsidRPr="009857D4" w:rsidRDefault="009A5362" w:rsidP="009857D4">
      <w:pPr>
        <w:spacing w:after="80" w:line="240" w:lineRule="auto"/>
        <w:jc w:val="both"/>
        <w:rPr>
          <w:b/>
        </w:rPr>
      </w:pPr>
      <w:r w:rsidRPr="001F2819">
        <w:rPr>
          <w:bCs/>
        </w:rPr>
        <w:t xml:space="preserve">Il existe deux grands types de communication en éducation à la santé. La communication destinée à un </w:t>
      </w:r>
      <w:r w:rsidRPr="009857D4">
        <w:rPr>
          <w:b/>
        </w:rPr>
        <w:t>large public</w:t>
      </w:r>
      <w:r w:rsidRPr="001F2819">
        <w:rPr>
          <w:bCs/>
        </w:rPr>
        <w:t xml:space="preserve"> et la communication destinée à un </w:t>
      </w:r>
      <w:r w:rsidRPr="009857D4">
        <w:rPr>
          <w:b/>
        </w:rPr>
        <w:t>public ciblé.</w:t>
      </w:r>
    </w:p>
    <w:p w14:paraId="1F1C8DF3" w14:textId="6E6390C3" w:rsidR="009857D4" w:rsidRPr="009857D4" w:rsidRDefault="009857D4" w:rsidP="006857ED">
      <w:pPr>
        <w:spacing w:after="0" w:line="240" w:lineRule="auto"/>
        <w:jc w:val="both"/>
        <w:rPr>
          <w:b/>
        </w:rPr>
      </w:pPr>
      <w:r>
        <w:rPr>
          <w:bCs/>
        </w:rPr>
        <w:sym w:font="Wingdings" w:char="F0DC"/>
      </w:r>
      <w:r>
        <w:rPr>
          <w:bCs/>
        </w:rPr>
        <w:t xml:space="preserve"> </w:t>
      </w:r>
      <w:r>
        <w:rPr>
          <w:b/>
        </w:rPr>
        <w:t>La communication desti</w:t>
      </w:r>
      <w:r w:rsidR="00E27724">
        <w:rPr>
          <w:b/>
        </w:rPr>
        <w:t>née à un large public</w:t>
      </w:r>
    </w:p>
    <w:p w14:paraId="6FF726BD" w14:textId="3E1DF21A" w:rsidR="009A5362" w:rsidRPr="001F2819" w:rsidRDefault="009A5362" w:rsidP="00CA6928">
      <w:pPr>
        <w:spacing w:after="120" w:line="240" w:lineRule="auto"/>
        <w:jc w:val="both"/>
        <w:rPr>
          <w:bCs/>
        </w:rPr>
      </w:pPr>
      <w:r w:rsidRPr="001F2819">
        <w:rPr>
          <w:bCs/>
        </w:rPr>
        <w:t xml:space="preserve">Les campagnes de communication destinées à un large public ne ciblent pas qu’une seule catégorie de personne mais s’adresse à tout le monde. Les messages doivent alors apprendre à toutes les personnes à agir en faveur de leur propre santé, en utilisant un vocabulaire adapté </w:t>
      </w:r>
      <w:r w:rsidRPr="001F2819">
        <w:rPr>
          <w:bCs/>
        </w:rPr>
        <w:lastRenderedPageBreak/>
        <w:t xml:space="preserve">et compréhensible par tous, en privilégiant une approche pédagogique incitant au changement </w:t>
      </w:r>
      <w:proofErr w:type="gramStart"/>
      <w:r w:rsidRPr="001F2819">
        <w:rPr>
          <w:bCs/>
        </w:rPr>
        <w:t>comme</w:t>
      </w:r>
      <w:r w:rsidR="00E27724">
        <w:rPr>
          <w:bCs/>
        </w:rPr>
        <w:t>,</w:t>
      </w:r>
      <w:r w:rsidRPr="001F2819">
        <w:rPr>
          <w:bCs/>
        </w:rPr>
        <w:t xml:space="preserve"> par exemple</w:t>
      </w:r>
      <w:r w:rsidR="00E27724">
        <w:rPr>
          <w:bCs/>
        </w:rPr>
        <w:t>,</w:t>
      </w:r>
      <w:proofErr w:type="gramEnd"/>
      <w:r w:rsidRPr="001F2819">
        <w:rPr>
          <w:bCs/>
        </w:rPr>
        <w:t xml:space="preserve"> manger 5 fruits et légumes par jour. Ces messages destinés à un grand public sont transmis à l’aide de supports larges et accessibles par tout le monde, </w:t>
      </w:r>
      <w:proofErr w:type="gramStart"/>
      <w:r w:rsidR="00E27724">
        <w:rPr>
          <w:bCs/>
        </w:rPr>
        <w:t>tel</w:t>
      </w:r>
      <w:r w:rsidR="00CA6928">
        <w:rPr>
          <w:bCs/>
        </w:rPr>
        <w:t>les</w:t>
      </w:r>
      <w:r w:rsidRPr="001F2819">
        <w:rPr>
          <w:bCs/>
        </w:rPr>
        <w:t xml:space="preserve"> la télévision</w:t>
      </w:r>
      <w:proofErr w:type="gramEnd"/>
      <w:r w:rsidRPr="001F2819">
        <w:rPr>
          <w:bCs/>
        </w:rPr>
        <w:t>, la radio ou encore par voie d’affichage national.</w:t>
      </w:r>
    </w:p>
    <w:p w14:paraId="58614D78" w14:textId="78C1D849" w:rsidR="00CA6928" w:rsidRDefault="00CA6928" w:rsidP="006857ED">
      <w:pPr>
        <w:spacing w:after="0" w:line="240" w:lineRule="auto"/>
        <w:jc w:val="both"/>
        <w:rPr>
          <w:bCs/>
        </w:rPr>
      </w:pPr>
      <w:r>
        <w:rPr>
          <w:bCs/>
        </w:rPr>
        <w:sym w:font="Wingdings" w:char="F0DC"/>
      </w:r>
      <w:r>
        <w:rPr>
          <w:bCs/>
        </w:rPr>
        <w:t xml:space="preserve"> </w:t>
      </w:r>
      <w:r w:rsidR="005224A4" w:rsidRPr="00324775">
        <w:rPr>
          <w:b/>
        </w:rPr>
        <w:t>La</w:t>
      </w:r>
      <w:r w:rsidR="00324775">
        <w:rPr>
          <w:b/>
        </w:rPr>
        <w:t xml:space="preserve"> communication destiné</w:t>
      </w:r>
      <w:r w:rsidR="001725EE">
        <w:rPr>
          <w:b/>
        </w:rPr>
        <w:t>e à un public ciblé</w:t>
      </w:r>
    </w:p>
    <w:p w14:paraId="77960DE7" w14:textId="3C8D0614" w:rsidR="009A5362" w:rsidRPr="001F2819" w:rsidRDefault="009A5362" w:rsidP="006857ED">
      <w:pPr>
        <w:spacing w:after="0" w:line="240" w:lineRule="auto"/>
        <w:jc w:val="both"/>
        <w:rPr>
          <w:bCs/>
        </w:rPr>
      </w:pPr>
      <w:r w:rsidRPr="001F2819">
        <w:rPr>
          <w:bCs/>
        </w:rPr>
        <w:t>L’éducation à la santé envers un public ciblé concerne une catégorie de la population, concernée par un problème de santé. Le message sera alors aussi adapté au public ciblé dans son vocabulaire</w:t>
      </w:r>
      <w:r w:rsidR="001963DC">
        <w:rPr>
          <w:bCs/>
        </w:rPr>
        <w:t>,</w:t>
      </w:r>
      <w:r w:rsidRPr="001F2819">
        <w:rPr>
          <w:bCs/>
        </w:rPr>
        <w:t xml:space="preserve"> mais aussi aux capacités de compréhension. </w:t>
      </w:r>
      <w:r w:rsidR="00FF1483">
        <w:rPr>
          <w:bCs/>
        </w:rPr>
        <w:t>O</w:t>
      </w:r>
      <w:r w:rsidRPr="001F2819">
        <w:rPr>
          <w:bCs/>
        </w:rPr>
        <w:t>n ne s’adressera pas</w:t>
      </w:r>
      <w:r w:rsidR="00FF1483">
        <w:rPr>
          <w:bCs/>
        </w:rPr>
        <w:t>, par exemple,</w:t>
      </w:r>
      <w:r w:rsidRPr="001F2819">
        <w:rPr>
          <w:bCs/>
        </w:rPr>
        <w:t xml:space="preserve"> de la même manière à des enfants qu’à un public de séniors. Parfois le message ne comportera pas de textes, mais uniquement des photos ou </w:t>
      </w:r>
      <w:r w:rsidR="00FF1483">
        <w:rPr>
          <w:bCs/>
        </w:rPr>
        <w:t xml:space="preserve">des </w:t>
      </w:r>
      <w:r w:rsidRPr="001F2819">
        <w:rPr>
          <w:bCs/>
        </w:rPr>
        <w:t>images pour faciliter la compréhension du public ciblé.</w:t>
      </w:r>
    </w:p>
    <w:p w14:paraId="52A050D3" w14:textId="4F960DC9" w:rsidR="009A5362" w:rsidRDefault="009A5362" w:rsidP="006857ED">
      <w:pPr>
        <w:spacing w:after="0" w:line="240" w:lineRule="auto"/>
        <w:jc w:val="both"/>
        <w:rPr>
          <w:bCs/>
        </w:rPr>
      </w:pPr>
      <w:r w:rsidRPr="001F2819">
        <w:rPr>
          <w:bCs/>
        </w:rPr>
        <w:t>Que</w:t>
      </w:r>
      <w:r w:rsidR="00FF1483">
        <w:rPr>
          <w:bCs/>
        </w:rPr>
        <w:t>l</w:t>
      </w:r>
      <w:r w:rsidRPr="001F2819">
        <w:rPr>
          <w:bCs/>
        </w:rPr>
        <w:t>l</w:t>
      </w:r>
      <w:r w:rsidR="00FF1483">
        <w:rPr>
          <w:bCs/>
        </w:rPr>
        <w:t xml:space="preserve">e </w:t>
      </w:r>
      <w:r w:rsidRPr="001F2819">
        <w:rPr>
          <w:bCs/>
        </w:rPr>
        <w:t>que soit l’action d’éducation à la santé entreprise, celle-ci devra être valorisée. La valorisation interne peut se faire sous forme de réunion d’équipe, de fiche technique, d’un journal interne, d’articles de presse locale, dans les radios locales. Le but est de la faire connaître aux acteurs de proximité, aux partenaires, et c’est également une reconnaissance du travail réalisé. L’action peut également être valorisée en externe pour le grand public, pour les médias et se faire</w:t>
      </w:r>
      <w:r>
        <w:rPr>
          <w:bCs/>
        </w:rPr>
        <w:t>.</w:t>
      </w:r>
    </w:p>
    <w:p w14:paraId="6B499CDF" w14:textId="0A9E6FEC" w:rsidR="009A5362" w:rsidRPr="001F2819" w:rsidRDefault="009A5362" w:rsidP="006857ED">
      <w:pPr>
        <w:spacing w:after="0" w:line="240" w:lineRule="auto"/>
        <w:jc w:val="both"/>
        <w:rPr>
          <w:bCs/>
        </w:rPr>
      </w:pPr>
      <w:r>
        <w:rPr>
          <w:bCs/>
        </w:rPr>
        <w:t>En terme</w:t>
      </w:r>
      <w:r w:rsidR="00903536">
        <w:rPr>
          <w:bCs/>
        </w:rPr>
        <w:t>s</w:t>
      </w:r>
      <w:r>
        <w:rPr>
          <w:bCs/>
        </w:rPr>
        <w:t xml:space="preserve"> de communication, il ne faut pas confondre l’éducation à la santé avec l’éducation thérapeutique qui ne peut être faite que par des professionnels de santé et qui représente un accompagnement des patients atteints de pathologies chroniques.</w:t>
      </w:r>
    </w:p>
    <w:p w14:paraId="0213F846" w14:textId="77777777" w:rsidR="009A5362" w:rsidRDefault="009A5362" w:rsidP="006857ED">
      <w:pPr>
        <w:spacing w:after="0" w:line="240" w:lineRule="auto"/>
        <w:jc w:val="both"/>
        <w:rPr>
          <w:b/>
        </w:rPr>
      </w:pPr>
    </w:p>
    <w:p w14:paraId="1818BF92" w14:textId="77777777" w:rsidR="00FA3F15" w:rsidRDefault="00FA3F15" w:rsidP="006857ED">
      <w:pPr>
        <w:jc w:val="both"/>
      </w:pPr>
    </w:p>
    <w:sectPr w:rsidR="00FA3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A55"/>
    <w:multiLevelType w:val="hybridMultilevel"/>
    <w:tmpl w:val="A596FAE4"/>
    <w:lvl w:ilvl="0" w:tplc="B614B03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53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62"/>
    <w:rsid w:val="000437C5"/>
    <w:rsid w:val="00052CFE"/>
    <w:rsid w:val="000B3C21"/>
    <w:rsid w:val="001725EE"/>
    <w:rsid w:val="00173347"/>
    <w:rsid w:val="001963DC"/>
    <w:rsid w:val="00314E0E"/>
    <w:rsid w:val="00324775"/>
    <w:rsid w:val="00336F2F"/>
    <w:rsid w:val="00347733"/>
    <w:rsid w:val="003A6AD7"/>
    <w:rsid w:val="003E4A10"/>
    <w:rsid w:val="004F0771"/>
    <w:rsid w:val="005224A4"/>
    <w:rsid w:val="00670A65"/>
    <w:rsid w:val="006857ED"/>
    <w:rsid w:val="00803312"/>
    <w:rsid w:val="00896A07"/>
    <w:rsid w:val="008A500B"/>
    <w:rsid w:val="00903536"/>
    <w:rsid w:val="00943292"/>
    <w:rsid w:val="009857D4"/>
    <w:rsid w:val="009A5362"/>
    <w:rsid w:val="009B13CE"/>
    <w:rsid w:val="00B35EF6"/>
    <w:rsid w:val="00C65091"/>
    <w:rsid w:val="00CA6928"/>
    <w:rsid w:val="00D17696"/>
    <w:rsid w:val="00DD60EC"/>
    <w:rsid w:val="00E27724"/>
    <w:rsid w:val="00EA50DB"/>
    <w:rsid w:val="00EB65B0"/>
    <w:rsid w:val="00FA3F15"/>
    <w:rsid w:val="00FF1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0F40"/>
  <w15:chartTrackingRefBased/>
  <w15:docId w15:val="{2A617591-C328-4AA8-A0D8-57441E82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62"/>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53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B1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C0F20EDF-06A3-483B-B40B-EEA7108C7254}"/>
</file>

<file path=customXml/itemProps2.xml><?xml version="1.0" encoding="utf-8"?>
<ds:datastoreItem xmlns:ds="http://schemas.openxmlformats.org/officeDocument/2006/customXml" ds:itemID="{AFFC5C45-216A-42C5-9BFC-F94B7117882D}"/>
</file>

<file path=customXml/itemProps3.xml><?xml version="1.0" encoding="utf-8"?>
<ds:datastoreItem xmlns:ds="http://schemas.openxmlformats.org/officeDocument/2006/customXml" ds:itemID="{24CB7F88-19E6-4C7E-9519-346100D3CF34}"/>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6892</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BRIGITTE</dc:creator>
  <cp:keywords/>
  <dc:description/>
  <cp:lastModifiedBy>ANDRE BRIGITTE</cp:lastModifiedBy>
  <cp:revision>2</cp:revision>
  <dcterms:created xsi:type="dcterms:W3CDTF">2023-03-13T15:20:00Z</dcterms:created>
  <dcterms:modified xsi:type="dcterms:W3CDTF">2023-03-13T15:20:00Z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